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B5B63" w14:textId="5187D89B" w:rsidR="00722FFF" w:rsidRDefault="00722FFF" w:rsidP="00722FFF">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sidR="005055A5">
        <w:rPr>
          <w:b/>
          <w:noProof/>
          <w:sz w:val="24"/>
          <w:lang w:eastAsia="ja-JP"/>
        </w:rPr>
        <w:t>-e</w:t>
      </w:r>
      <w:r>
        <w:rPr>
          <w:b/>
          <w:i/>
          <w:noProof/>
          <w:sz w:val="28"/>
        </w:rPr>
        <w:tab/>
      </w:r>
      <w:r w:rsidR="00EF1190" w:rsidRPr="00EF1190">
        <w:rPr>
          <w:b/>
          <w:i/>
          <w:noProof/>
          <w:sz w:val="28"/>
        </w:rPr>
        <w:t>R4-2001191</w:t>
      </w:r>
    </w:p>
    <w:p w14:paraId="439DCACB" w14:textId="470AE590" w:rsidR="00722FFF" w:rsidRPr="00B423DD" w:rsidRDefault="005055A5" w:rsidP="00722FFF">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00F8105F" w:rsidRPr="00B50CF7">
        <w:rPr>
          <w:rFonts w:ascii="Arial" w:hAnsi="Arial" w:hint="eastAsia"/>
          <w:b/>
          <w:sz w:val="24"/>
          <w:szCs w:val="24"/>
          <w:lang w:eastAsia="ja-JP"/>
        </w:rPr>
        <w:t>on</w:t>
      </w:r>
      <w:r>
        <w:rPr>
          <w:rFonts w:ascii="Arial" w:eastAsia="SimSun" w:hAnsi="Arial"/>
          <w:b/>
          <w:sz w:val="24"/>
          <w:szCs w:val="24"/>
          <w:lang w:eastAsia="zh-CN"/>
        </w:rPr>
        <w:t>ic Meeting</w:t>
      </w:r>
      <w:r w:rsidR="00722FFF" w:rsidRPr="00F644CF">
        <w:rPr>
          <w:rFonts w:ascii="Arial" w:eastAsia="SimSun" w:hAnsi="Arial"/>
          <w:b/>
          <w:sz w:val="24"/>
          <w:szCs w:val="24"/>
          <w:lang w:eastAsia="zh-CN"/>
        </w:rPr>
        <w:t xml:space="preserve">, </w:t>
      </w:r>
      <w:r>
        <w:rPr>
          <w:rFonts w:ascii="Arial" w:eastAsia="SimSun" w:hAnsi="Arial"/>
          <w:b/>
          <w:sz w:val="24"/>
          <w:szCs w:val="24"/>
          <w:lang w:eastAsia="zh-CN"/>
        </w:rPr>
        <w:t xml:space="preserve">February </w:t>
      </w:r>
      <w:r w:rsidR="00722FFF">
        <w:rPr>
          <w:rFonts w:ascii="Arial" w:eastAsia="SimSun" w:hAnsi="Arial"/>
          <w:b/>
          <w:sz w:val="24"/>
          <w:szCs w:val="24"/>
          <w:lang w:eastAsia="zh-CN"/>
        </w:rPr>
        <w:t>24</w:t>
      </w:r>
      <w:r w:rsidR="005A638A">
        <w:rPr>
          <w:rFonts w:ascii="Arial" w:eastAsia="SimSun" w:hAnsi="Arial"/>
          <w:b/>
          <w:sz w:val="24"/>
          <w:szCs w:val="24"/>
          <w:lang w:eastAsia="zh-CN"/>
        </w:rPr>
        <w:t xml:space="preserve"> </w:t>
      </w:r>
      <w:r w:rsidR="00722FFF">
        <w:rPr>
          <w:rFonts w:ascii="Arial" w:eastAsia="SimSun" w:hAnsi="Arial"/>
          <w:b/>
          <w:sz w:val="24"/>
          <w:szCs w:val="24"/>
          <w:lang w:eastAsia="zh-CN"/>
        </w:rPr>
        <w:t>–</w:t>
      </w:r>
      <w:r w:rsidR="00722FFF" w:rsidRPr="00F644CF">
        <w:rPr>
          <w:rFonts w:ascii="Arial" w:eastAsia="SimSun" w:hAnsi="Arial" w:hint="eastAsia"/>
          <w:b/>
          <w:sz w:val="24"/>
          <w:szCs w:val="24"/>
          <w:lang w:eastAsia="zh-CN"/>
        </w:rPr>
        <w:t xml:space="preserve"> </w:t>
      </w:r>
      <w:r w:rsidR="00F8105F">
        <w:rPr>
          <w:rFonts w:ascii="Arial" w:eastAsia="SimSun" w:hAnsi="Arial"/>
          <w:b/>
          <w:sz w:val="24"/>
          <w:szCs w:val="24"/>
          <w:lang w:eastAsia="zh-CN"/>
        </w:rPr>
        <w:t xml:space="preserve">March </w:t>
      </w:r>
      <w:r>
        <w:rPr>
          <w:rFonts w:ascii="Arial" w:eastAsia="SimSun" w:hAnsi="Arial"/>
          <w:b/>
          <w:sz w:val="24"/>
          <w:szCs w:val="24"/>
          <w:lang w:eastAsia="zh-CN"/>
        </w:rPr>
        <w:t>6</w:t>
      </w:r>
      <w:r w:rsidRPr="00AB33E6">
        <w:rPr>
          <w:rFonts w:ascii="Arial" w:hAnsi="Arial" w:hint="eastAsia"/>
          <w:b/>
          <w:sz w:val="24"/>
          <w:szCs w:val="24"/>
          <w:lang w:eastAsia="ja-JP"/>
        </w:rPr>
        <w:t>,</w:t>
      </w:r>
      <w:r w:rsidR="00722FFF">
        <w:rPr>
          <w:rFonts w:ascii="Arial" w:eastAsia="SimSun" w:hAnsi="Arial"/>
          <w:b/>
          <w:sz w:val="24"/>
          <w:szCs w:val="24"/>
          <w:lang w:val="en-US" w:eastAsia="zh-CN"/>
        </w:rPr>
        <w:t xml:space="preserve"> </w:t>
      </w:r>
      <w:r w:rsidR="00722FFF">
        <w:rPr>
          <w:rFonts w:ascii="Arial" w:eastAsia="SimSun" w:hAnsi="Arial"/>
          <w:b/>
          <w:sz w:val="24"/>
          <w:szCs w:val="24"/>
          <w:lang w:eastAsia="zh-CN"/>
        </w:rPr>
        <w:t>2020</w:t>
      </w:r>
    </w:p>
    <w:p w14:paraId="0B3BDDD8"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12BA5182" w14:textId="6A622E30" w:rsidR="00597335" w:rsidRPr="00863723"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863723" w:rsidRPr="00863723">
        <w:rPr>
          <w:rFonts w:ascii="Arial" w:hAnsi="Arial"/>
          <w:sz w:val="24"/>
          <w:lang w:val="en-US" w:eastAsia="ja-JP"/>
        </w:rPr>
        <w:t>6.7.2</w:t>
      </w:r>
      <w:r w:rsidR="00863723" w:rsidRPr="00863723">
        <w:rPr>
          <w:rFonts w:ascii="Arial" w:hAnsi="Arial"/>
          <w:sz w:val="24"/>
          <w:lang w:val="en-US" w:eastAsia="ja-JP"/>
        </w:rPr>
        <w:tab/>
      </w:r>
      <w:r w:rsidR="00152CF6" w:rsidRPr="00863723">
        <w:rPr>
          <w:rFonts w:ascii="Arial" w:hAnsi="Arial"/>
          <w:sz w:val="24"/>
          <w:lang w:val="en-US" w:eastAsia="ja-JP"/>
        </w:rPr>
        <w:t xml:space="preserve"> </w:t>
      </w:r>
      <w:r w:rsidR="00863723" w:rsidRPr="00863723">
        <w:rPr>
          <w:rFonts w:ascii="Arial" w:hAnsi="Arial"/>
          <w:sz w:val="24"/>
          <w:lang w:val="en-US" w:eastAsia="ja-JP"/>
        </w:rPr>
        <w:t>[NR_newRAT-Core]</w:t>
      </w:r>
    </w:p>
    <w:p w14:paraId="10D597E2"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6D3080A8" w14:textId="3C5C9D6A"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0B0E43">
        <w:rPr>
          <w:rFonts w:ascii="Arial" w:hAnsi="Arial"/>
          <w:sz w:val="24"/>
          <w:lang w:val="en-US"/>
        </w:rPr>
        <w:t>A</w:t>
      </w:r>
      <w:r w:rsidR="005A638A">
        <w:rPr>
          <w:rFonts w:ascii="Arial" w:hAnsi="Arial"/>
          <w:sz w:val="24"/>
          <w:lang w:val="en-US"/>
        </w:rPr>
        <w:t xml:space="preserve">dditional </w:t>
      </w:r>
      <w:r w:rsidR="000B0E43">
        <w:rPr>
          <w:rFonts w:ascii="Arial" w:hAnsi="Arial"/>
          <w:sz w:val="24"/>
          <w:lang w:val="en-US"/>
        </w:rPr>
        <w:t xml:space="preserve">unwanted emission </w:t>
      </w:r>
      <w:r w:rsidR="00674F18" w:rsidRPr="00674F18">
        <w:rPr>
          <w:rFonts w:ascii="Arial" w:hAnsi="Arial"/>
          <w:sz w:val="24"/>
          <w:lang w:val="en-US"/>
        </w:rPr>
        <w:t>requirement</w:t>
      </w:r>
      <w:r w:rsidR="005A638A">
        <w:rPr>
          <w:rFonts w:ascii="Arial" w:hAnsi="Arial"/>
          <w:sz w:val="24"/>
          <w:lang w:val="en-US"/>
        </w:rPr>
        <w:t>s</w:t>
      </w:r>
      <w:r w:rsidR="00674F18" w:rsidRPr="00674F18">
        <w:rPr>
          <w:rFonts w:ascii="Arial" w:hAnsi="Arial"/>
          <w:sz w:val="24"/>
          <w:lang w:val="en-US"/>
        </w:rPr>
        <w:t xml:space="preserve"> for </w:t>
      </w:r>
      <w:r w:rsidR="003D7A5D">
        <w:rPr>
          <w:rFonts w:ascii="Arial" w:hAnsi="Arial" w:hint="eastAsia"/>
          <w:sz w:val="24"/>
          <w:lang w:val="en-US" w:eastAsia="ja-JP"/>
        </w:rPr>
        <w:t xml:space="preserve">the </w:t>
      </w:r>
      <w:r w:rsidR="005A638A">
        <w:rPr>
          <w:rFonts w:ascii="Arial" w:hAnsi="Arial"/>
          <w:sz w:val="24"/>
          <w:lang w:val="en-US"/>
        </w:rPr>
        <w:t>EESS</w:t>
      </w:r>
      <w:r w:rsidR="000B0E43">
        <w:rPr>
          <w:rFonts w:ascii="Arial" w:hAnsi="Arial"/>
          <w:sz w:val="24"/>
          <w:lang w:val="en-US"/>
        </w:rPr>
        <w:t xml:space="preserve"> </w:t>
      </w:r>
      <w:r w:rsidR="005A638A">
        <w:rPr>
          <w:rFonts w:ascii="Arial" w:hAnsi="Arial"/>
          <w:sz w:val="24"/>
          <w:lang w:val="en-US"/>
        </w:rPr>
        <w:t>protection</w:t>
      </w:r>
      <w:r w:rsidR="002A7390" w:rsidRPr="002A7390">
        <w:rPr>
          <w:rFonts w:ascii="Arial" w:hAnsi="Arial"/>
          <w:sz w:val="24"/>
          <w:lang w:val="en-US"/>
        </w:rPr>
        <w:t xml:space="preserve"> </w:t>
      </w:r>
      <w:r w:rsidR="00EE6D74">
        <w:rPr>
          <w:rFonts w:ascii="Arial" w:hAnsi="Arial"/>
          <w:sz w:val="24"/>
          <w:lang w:val="en-US"/>
        </w:rPr>
        <w:t>from</w:t>
      </w:r>
      <w:bookmarkStart w:id="0" w:name="_GoBack"/>
      <w:bookmarkEnd w:id="0"/>
      <w:r w:rsidR="002A7390">
        <w:rPr>
          <w:rFonts w:ascii="Arial" w:hAnsi="Arial"/>
          <w:sz w:val="24"/>
          <w:lang w:val="en-US"/>
        </w:rPr>
        <w:t xml:space="preserve"> </w:t>
      </w:r>
      <w:r w:rsidR="0065428D">
        <w:rPr>
          <w:rFonts w:ascii="Arial" w:hAnsi="Arial"/>
          <w:sz w:val="24"/>
          <w:lang w:val="en-US"/>
        </w:rPr>
        <w:t>band</w:t>
      </w:r>
      <w:r w:rsidR="002A7390">
        <w:rPr>
          <w:rFonts w:ascii="Arial" w:hAnsi="Arial"/>
          <w:sz w:val="24"/>
          <w:lang w:val="en-US"/>
        </w:rPr>
        <w:t xml:space="preserve"> n257</w:t>
      </w:r>
      <w:r w:rsidR="00BD05B8">
        <w:rPr>
          <w:rFonts w:ascii="Arial" w:hAnsi="Arial"/>
          <w:sz w:val="24"/>
          <w:lang w:val="en-US"/>
        </w:rPr>
        <w:t xml:space="preserve"> and </w:t>
      </w:r>
      <w:r w:rsidR="002A7390">
        <w:rPr>
          <w:rFonts w:ascii="Arial" w:hAnsi="Arial"/>
          <w:sz w:val="24"/>
          <w:lang w:val="en-US"/>
        </w:rPr>
        <w:t>n258</w:t>
      </w:r>
    </w:p>
    <w:p w14:paraId="78C498C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925EBED" w14:textId="77777777" w:rsidR="00E7460A" w:rsidRPr="007B3B93" w:rsidRDefault="00E7460A" w:rsidP="006475B9">
      <w:pPr>
        <w:pStyle w:val="1"/>
        <w:numPr>
          <w:ilvl w:val="0"/>
          <w:numId w:val="2"/>
        </w:numPr>
        <w:ind w:left="567" w:hanging="567"/>
      </w:pPr>
      <w:r w:rsidRPr="007B3B93">
        <w:t>Introduction</w:t>
      </w:r>
    </w:p>
    <w:p w14:paraId="2D608CC5" w14:textId="41E84DC6" w:rsidR="00A77BB7" w:rsidRDefault="006C5FFF" w:rsidP="0056501A">
      <w:pPr>
        <w:jc w:val="both"/>
        <w:rPr>
          <w:lang w:val="en-US" w:eastAsia="ja-JP"/>
        </w:rPr>
      </w:pPr>
      <w:r>
        <w:rPr>
          <w:lang w:val="en-US" w:eastAsia="ja-JP"/>
        </w:rPr>
        <w:t>In</w:t>
      </w:r>
      <w:r w:rsidR="00A77BB7">
        <w:rPr>
          <w:lang w:val="en-US" w:eastAsia="ja-JP"/>
        </w:rPr>
        <w:t xml:space="preserve"> </w:t>
      </w:r>
      <w:r w:rsidR="00A46548">
        <w:rPr>
          <w:lang w:val="en-US" w:eastAsia="ja-JP"/>
        </w:rPr>
        <w:t xml:space="preserve">ITU </w:t>
      </w:r>
      <w:r w:rsidR="00A77BB7">
        <w:rPr>
          <w:lang w:val="en-US" w:eastAsia="ja-JP"/>
        </w:rPr>
        <w:t>WRC-19</w:t>
      </w:r>
      <w:r w:rsidR="00B61B8C">
        <w:rPr>
          <w:lang w:val="en-US" w:eastAsia="ja-JP"/>
        </w:rPr>
        <w:t xml:space="preserve">, </w:t>
      </w:r>
      <w:r w:rsidR="00023D10">
        <w:rPr>
          <w:lang w:val="en-US" w:eastAsia="ja-JP"/>
        </w:rPr>
        <w:t>the unwanted emission requirements for</w:t>
      </w:r>
      <w:r w:rsidR="00A46548">
        <w:rPr>
          <w:lang w:val="en-US" w:eastAsia="ja-JP"/>
        </w:rPr>
        <w:t xml:space="preserve"> </w:t>
      </w:r>
      <w:r w:rsidR="00A46548" w:rsidRPr="00A46548">
        <w:rPr>
          <w:lang w:val="en-US" w:eastAsia="ja-JP"/>
        </w:rPr>
        <w:t xml:space="preserve">the Earth exploration-satellite service (EESS) </w:t>
      </w:r>
      <w:r w:rsidR="00A46548">
        <w:rPr>
          <w:lang w:val="en-US" w:eastAsia="ja-JP"/>
        </w:rPr>
        <w:t xml:space="preserve">(passive) in the frequency band 23.6-24GHz was </w:t>
      </w:r>
      <w:r w:rsidR="003532A2">
        <w:rPr>
          <w:lang w:val="en-US" w:eastAsia="ja-JP"/>
        </w:rPr>
        <w:t>discussed.</w:t>
      </w:r>
      <w:r w:rsidR="003532A2">
        <w:rPr>
          <w:rFonts w:hint="eastAsia"/>
          <w:lang w:val="en-US" w:eastAsia="ja-JP"/>
        </w:rPr>
        <w:t xml:space="preserve">　</w:t>
      </w:r>
      <w:r w:rsidR="003532A2">
        <w:rPr>
          <w:lang w:val="en-US" w:eastAsia="ja-JP"/>
        </w:rPr>
        <w:t xml:space="preserve">As described in page 349 – 355 in [1], </w:t>
      </w:r>
      <w:r w:rsidR="003532A2">
        <w:rPr>
          <w:rFonts w:hint="eastAsia"/>
          <w:lang w:val="en-US" w:eastAsia="ja-JP"/>
        </w:rPr>
        <w:t>i</w:t>
      </w:r>
      <w:r w:rsidR="00A46548">
        <w:rPr>
          <w:lang w:val="en-US" w:eastAsia="ja-JP"/>
        </w:rPr>
        <w:t>t</w:t>
      </w:r>
      <w:r w:rsidR="00A77BB7">
        <w:rPr>
          <w:lang w:val="en-US" w:eastAsia="ja-JP"/>
        </w:rPr>
        <w:t xml:space="preserve"> was concluded that</w:t>
      </w:r>
      <w:r w:rsidR="00A46548">
        <w:rPr>
          <w:lang w:val="en-US" w:eastAsia="ja-JP"/>
        </w:rPr>
        <w:t xml:space="preserve"> </w:t>
      </w:r>
      <w:r w:rsidR="003532A2">
        <w:rPr>
          <w:lang w:val="en-US" w:eastAsia="ja-JP"/>
        </w:rPr>
        <w:t>IMT base stations</w:t>
      </w:r>
      <w:r w:rsidR="003D7A5D">
        <w:rPr>
          <w:lang w:val="en-US" w:eastAsia="ja-JP"/>
        </w:rPr>
        <w:t xml:space="preserve"> operating in the frequency range of 24.25-27.5GHz</w:t>
      </w:r>
      <w:r w:rsidR="00A46548">
        <w:rPr>
          <w:lang w:val="en-US" w:eastAsia="ja-JP"/>
        </w:rPr>
        <w:t xml:space="preserve"> shall meet</w:t>
      </w:r>
      <w:r w:rsidR="003D7A5D">
        <w:rPr>
          <w:lang w:val="en-US" w:eastAsia="ja-JP"/>
        </w:rPr>
        <w:t xml:space="preserve"> -33</w:t>
      </w:r>
      <w:r w:rsidR="00A46548">
        <w:rPr>
          <w:lang w:val="en-US" w:eastAsia="ja-JP"/>
        </w:rPr>
        <w:t>dBW/200MHz</w:t>
      </w:r>
      <w:r w:rsidR="00A77BB7">
        <w:rPr>
          <w:lang w:val="en-US" w:eastAsia="ja-JP"/>
        </w:rPr>
        <w:t xml:space="preserve"> </w:t>
      </w:r>
      <w:r w:rsidR="00023D10">
        <w:rPr>
          <w:lang w:val="en-US" w:eastAsia="ja-JP"/>
        </w:rPr>
        <w:t>until 1</w:t>
      </w:r>
      <w:r w:rsidR="00023D10" w:rsidRPr="00023D10">
        <w:rPr>
          <w:vertAlign w:val="superscript"/>
          <w:lang w:val="en-US" w:eastAsia="ja-JP"/>
        </w:rPr>
        <w:t>st</w:t>
      </w:r>
      <w:r w:rsidR="003D7A5D">
        <w:rPr>
          <w:lang w:val="en-US" w:eastAsia="ja-JP"/>
        </w:rPr>
        <w:t xml:space="preserve"> Sep. 2027 and -39</w:t>
      </w:r>
      <w:r w:rsidR="00023D10">
        <w:rPr>
          <w:lang w:val="en-US" w:eastAsia="ja-JP"/>
        </w:rPr>
        <w:t>dBW/200MHz</w:t>
      </w:r>
      <w:r w:rsidR="003532A2">
        <w:rPr>
          <w:lang w:val="en-US" w:eastAsia="ja-JP"/>
        </w:rPr>
        <w:t xml:space="preserve"> </w:t>
      </w:r>
      <w:r w:rsidR="00023D10">
        <w:rPr>
          <w:lang w:val="en-US" w:eastAsia="ja-JP"/>
        </w:rPr>
        <w:t xml:space="preserve">after </w:t>
      </w:r>
      <w:r w:rsidR="003532A2">
        <w:rPr>
          <w:lang w:val="en-US" w:eastAsia="ja-JP"/>
        </w:rPr>
        <w:t>the</w:t>
      </w:r>
      <w:r w:rsidR="00023D10">
        <w:rPr>
          <w:lang w:val="en-US" w:eastAsia="ja-JP"/>
        </w:rPr>
        <w:t xml:space="preserve"> date</w:t>
      </w:r>
      <w:r w:rsidR="003532A2">
        <w:rPr>
          <w:lang w:val="en-US" w:eastAsia="ja-JP"/>
        </w:rPr>
        <w:t xml:space="preserve"> </w:t>
      </w:r>
      <w:r w:rsidR="00023D10">
        <w:rPr>
          <w:lang w:val="en-US" w:eastAsia="ja-JP"/>
        </w:rPr>
        <w:t xml:space="preserve">in order </w:t>
      </w:r>
      <w:r w:rsidR="00A46548">
        <w:rPr>
          <w:lang w:val="en-US" w:eastAsia="ja-JP"/>
        </w:rPr>
        <w:t xml:space="preserve">to protect </w:t>
      </w:r>
      <w:r w:rsidR="00A46548" w:rsidRPr="00A46548">
        <w:rPr>
          <w:lang w:val="en-US" w:eastAsia="ja-JP"/>
        </w:rPr>
        <w:t xml:space="preserve">the </w:t>
      </w:r>
      <w:r w:rsidR="00A46548">
        <w:rPr>
          <w:lang w:val="en-US" w:eastAsia="ja-JP"/>
        </w:rPr>
        <w:t>system</w:t>
      </w:r>
      <w:r w:rsidR="003D7A5D">
        <w:rPr>
          <w:lang w:val="en-US" w:eastAsia="ja-JP"/>
        </w:rPr>
        <w:t>.</w:t>
      </w:r>
    </w:p>
    <w:p w14:paraId="2ED8B0A6" w14:textId="17E257DC" w:rsidR="00114547" w:rsidRDefault="00F55A14" w:rsidP="0056501A">
      <w:pPr>
        <w:jc w:val="both"/>
        <w:rPr>
          <w:u w:val="single"/>
          <w:lang w:val="en-US" w:eastAsia="ja-JP"/>
        </w:rPr>
      </w:pPr>
      <w:r>
        <w:rPr>
          <w:lang w:val="en-US" w:eastAsia="ja-JP"/>
        </w:rPr>
        <w:t xml:space="preserve">In this contribution, we discuss </w:t>
      </w:r>
      <w:r w:rsidR="00A77BB7">
        <w:rPr>
          <w:lang w:val="en-US" w:eastAsia="ja-JP"/>
        </w:rPr>
        <w:t xml:space="preserve">on </w:t>
      </w:r>
      <w:r w:rsidR="00023D10">
        <w:rPr>
          <w:lang w:val="en-US" w:eastAsia="ja-JP"/>
        </w:rPr>
        <w:t>how to</w:t>
      </w:r>
      <w:r w:rsidR="00A46548">
        <w:rPr>
          <w:lang w:val="en-US" w:eastAsia="ja-JP"/>
        </w:rPr>
        <w:t xml:space="preserve"> </w:t>
      </w:r>
      <w:r w:rsidR="00A311FE">
        <w:rPr>
          <w:lang w:val="en-US" w:eastAsia="ja-JP"/>
        </w:rPr>
        <w:t>incorporate</w:t>
      </w:r>
      <w:r w:rsidR="00A77BB7">
        <w:rPr>
          <w:lang w:val="en-US" w:eastAsia="ja-JP"/>
        </w:rPr>
        <w:t xml:space="preserve"> </w:t>
      </w:r>
      <w:r w:rsidR="00A46548">
        <w:rPr>
          <w:lang w:val="en-US" w:eastAsia="ja-JP"/>
        </w:rPr>
        <w:t>the above conclusion in</w:t>
      </w:r>
      <w:r w:rsidR="003D7A5D">
        <w:rPr>
          <w:lang w:val="en-US" w:eastAsia="ja-JP"/>
        </w:rPr>
        <w:t>to</w:t>
      </w:r>
      <w:r w:rsidR="00A46548">
        <w:rPr>
          <w:lang w:val="en-US" w:eastAsia="ja-JP"/>
        </w:rPr>
        <w:t xml:space="preserve"> </w:t>
      </w:r>
      <w:r w:rsidR="003D7A5D">
        <w:rPr>
          <w:lang w:val="en-US" w:eastAsia="ja-JP"/>
        </w:rPr>
        <w:t xml:space="preserve">the </w:t>
      </w:r>
      <w:r w:rsidR="00A77BB7">
        <w:rPr>
          <w:lang w:val="en-US" w:eastAsia="ja-JP"/>
        </w:rPr>
        <w:t xml:space="preserve">BS RF </w:t>
      </w:r>
      <w:r w:rsidR="003D7A5D">
        <w:rPr>
          <w:lang w:val="en-US" w:eastAsia="ja-JP"/>
        </w:rPr>
        <w:t>specifications</w:t>
      </w:r>
      <w:r w:rsidR="00A77BB7">
        <w:rPr>
          <w:lang w:val="en-US" w:eastAsia="ja-JP"/>
        </w:rPr>
        <w:t>.</w:t>
      </w:r>
    </w:p>
    <w:p w14:paraId="49FDAA12" w14:textId="3A503BEE" w:rsidR="00A33BED" w:rsidRDefault="00A33BED" w:rsidP="00A33BED">
      <w:pPr>
        <w:pStyle w:val="1"/>
        <w:rPr>
          <w:lang w:val="en-US" w:eastAsia="ja-JP"/>
        </w:rPr>
      </w:pPr>
      <w:r>
        <w:rPr>
          <w:lang w:val="en-US" w:eastAsia="ja-JP"/>
        </w:rPr>
        <w:t>2.</w:t>
      </w:r>
      <w:r>
        <w:rPr>
          <w:lang w:val="en-US" w:eastAsia="ja-JP"/>
        </w:rPr>
        <w:tab/>
        <w:t>Discussion</w:t>
      </w:r>
    </w:p>
    <w:p w14:paraId="3317E810" w14:textId="47A65372" w:rsidR="00A46548" w:rsidRPr="00A46548" w:rsidRDefault="00A46548" w:rsidP="00A46548">
      <w:pPr>
        <w:pStyle w:val="2"/>
        <w:rPr>
          <w:lang w:val="en-US" w:eastAsia="ja-JP"/>
        </w:rPr>
      </w:pPr>
      <w:r>
        <w:rPr>
          <w:rFonts w:hint="eastAsia"/>
          <w:lang w:val="en-US" w:eastAsia="ja-JP"/>
        </w:rPr>
        <w:t>2.1.</w:t>
      </w:r>
      <w:r>
        <w:rPr>
          <w:rFonts w:hint="eastAsia"/>
          <w:lang w:val="en-US" w:eastAsia="ja-JP"/>
        </w:rPr>
        <w:tab/>
      </w:r>
      <w:r w:rsidR="00023D10">
        <w:rPr>
          <w:lang w:val="en-US" w:eastAsia="ja-JP"/>
        </w:rPr>
        <w:t>Summar</w:t>
      </w:r>
      <w:r w:rsidR="00185CCD">
        <w:rPr>
          <w:lang w:val="en-US" w:eastAsia="ja-JP"/>
        </w:rPr>
        <w:t>y of the EESS protection</w:t>
      </w:r>
      <w:r w:rsidR="00023D10">
        <w:rPr>
          <w:lang w:val="en-US" w:eastAsia="ja-JP"/>
        </w:rPr>
        <w:t xml:space="preserve"> in </w:t>
      </w:r>
      <w:r>
        <w:rPr>
          <w:lang w:val="en-US" w:eastAsia="ja-JP"/>
        </w:rPr>
        <w:t>ITU WRC-19</w:t>
      </w:r>
    </w:p>
    <w:p w14:paraId="107B7690" w14:textId="14C8D893" w:rsidR="00923E93" w:rsidRPr="00923E93" w:rsidRDefault="00023D10" w:rsidP="00662B4A">
      <w:pPr>
        <w:jc w:val="both"/>
        <w:rPr>
          <w:lang w:val="en-US" w:eastAsia="ja-JP"/>
        </w:rPr>
      </w:pPr>
      <w:r>
        <w:rPr>
          <w:lang w:val="en-US" w:eastAsia="ja-JP"/>
        </w:rPr>
        <w:t>T</w:t>
      </w:r>
      <w:r w:rsidR="00A46548">
        <w:rPr>
          <w:rFonts w:hint="eastAsia"/>
          <w:lang w:val="en-US" w:eastAsia="ja-JP"/>
        </w:rPr>
        <w:t xml:space="preserve">he </w:t>
      </w:r>
      <w:r w:rsidR="00923E93">
        <w:rPr>
          <w:rFonts w:hint="eastAsia"/>
          <w:lang w:val="en-US" w:eastAsia="ja-JP"/>
        </w:rPr>
        <w:t>unwanted emission limits</w:t>
      </w:r>
      <w:r w:rsidR="00A46548">
        <w:rPr>
          <w:lang w:val="en-US" w:eastAsia="ja-JP"/>
        </w:rPr>
        <w:t xml:space="preserve"> for the EESS (passive) protection </w:t>
      </w:r>
      <w:r>
        <w:rPr>
          <w:lang w:val="en-US" w:eastAsia="ja-JP"/>
        </w:rPr>
        <w:t xml:space="preserve">in </w:t>
      </w:r>
      <w:r w:rsidR="00A46548">
        <w:rPr>
          <w:lang w:val="en-US" w:eastAsia="ja-JP"/>
        </w:rPr>
        <w:t xml:space="preserve">the frequency band 23.6-24 GHz was </w:t>
      </w:r>
      <w:r w:rsidR="003532A2">
        <w:rPr>
          <w:lang w:val="en-US" w:eastAsia="ja-JP"/>
        </w:rPr>
        <w:t>concluded</w:t>
      </w:r>
      <w:r w:rsidR="00A46548">
        <w:rPr>
          <w:lang w:val="en-US" w:eastAsia="ja-JP"/>
        </w:rPr>
        <w:t xml:space="preserve"> </w:t>
      </w:r>
      <w:r w:rsidR="00923E93">
        <w:rPr>
          <w:rFonts w:hint="eastAsia"/>
          <w:lang w:val="en-US" w:eastAsia="ja-JP"/>
        </w:rPr>
        <w:t xml:space="preserve">as </w:t>
      </w:r>
      <w:r>
        <w:rPr>
          <w:lang w:val="en-US" w:eastAsia="ja-JP"/>
        </w:rPr>
        <w:t>follows:</w:t>
      </w:r>
      <w:r w:rsidR="00A46548">
        <w:rPr>
          <w:lang w:val="en-US" w:eastAsia="ja-JP"/>
        </w:rPr>
        <w:t xml:space="preserve"> </w:t>
      </w:r>
    </w:p>
    <w:p w14:paraId="347A1E32" w14:textId="4E90E179" w:rsidR="00A46548" w:rsidRPr="00A46548" w:rsidRDefault="00EE6D74" w:rsidP="00A46548">
      <w:pPr>
        <w:jc w:val="center"/>
        <w:rPr>
          <w:lang w:val="en-US" w:eastAsia="ja-JP"/>
        </w:rPr>
      </w:pPr>
      <w:r>
        <w:rPr>
          <w:b/>
          <w:lang w:val="en-US" w:eastAsia="ja-JP"/>
        </w:rPr>
        <w:pict w14:anchorId="4B030984">
          <v:shape id="_x0000_i1026" type="#_x0000_t75" style="width:388.5pt;height:255.75pt;mso-left-percent:-10001;mso-top-percent:-10001;mso-position-horizontal:absolute;mso-position-horizontal-relative:char;mso-position-vertical:absolute;mso-position-vertical-relative:line;mso-left-percent:-10001;mso-top-percent:-10001">
            <v:imagedata r:id="rId8" o:title=""/>
          </v:shape>
        </w:pict>
      </w:r>
    </w:p>
    <w:p w14:paraId="3950D60C" w14:textId="0B54C67C" w:rsidR="00A311FE" w:rsidRDefault="00023D10" w:rsidP="00662B4A">
      <w:pPr>
        <w:jc w:val="both"/>
        <w:rPr>
          <w:lang w:val="en-US" w:eastAsia="ja-JP"/>
        </w:rPr>
      </w:pPr>
      <w:r>
        <w:rPr>
          <w:lang w:val="en-US" w:eastAsia="ja-JP"/>
        </w:rPr>
        <w:t xml:space="preserve">According to TABLE 1-1 in [1], </w:t>
      </w:r>
      <w:r w:rsidR="0031464C">
        <w:rPr>
          <w:lang w:val="en-US" w:eastAsia="ja-JP"/>
        </w:rPr>
        <w:t>a limit of</w:t>
      </w:r>
      <w:r>
        <w:rPr>
          <w:lang w:val="en-US" w:eastAsia="ja-JP"/>
        </w:rPr>
        <w:t xml:space="preserve"> -33dBW/200MHz </w:t>
      </w:r>
      <w:r w:rsidR="0031464C">
        <w:rPr>
          <w:lang w:val="en-US" w:eastAsia="ja-JP"/>
        </w:rPr>
        <w:t xml:space="preserve">apply </w:t>
      </w:r>
      <w:r>
        <w:rPr>
          <w:lang w:val="en-US" w:eastAsia="ja-JP"/>
        </w:rPr>
        <w:t>for IMT base station</w:t>
      </w:r>
      <w:r w:rsidR="003532A2">
        <w:rPr>
          <w:lang w:val="en-US" w:eastAsia="ja-JP"/>
        </w:rPr>
        <w:t xml:space="preserve"> with </w:t>
      </w:r>
      <w:r w:rsidR="003E53BB">
        <w:rPr>
          <w:lang w:val="en-US" w:eastAsia="ja-JP"/>
        </w:rPr>
        <w:t xml:space="preserve">the </w:t>
      </w:r>
      <w:r w:rsidR="00185CCD">
        <w:rPr>
          <w:lang w:val="en-US" w:eastAsia="ja-JP"/>
        </w:rPr>
        <w:t>“</w:t>
      </w:r>
      <w:r w:rsidR="00F26BC3">
        <w:rPr>
          <w:lang w:val="en-US" w:eastAsia="ja-JP"/>
        </w:rPr>
        <w:t>A</w:t>
      </w:r>
      <w:r w:rsidR="003532A2">
        <w:rPr>
          <w:lang w:val="en-US" w:eastAsia="ja-JP"/>
        </w:rPr>
        <w:t>ctive service band</w:t>
      </w:r>
      <w:r w:rsidR="00185CCD">
        <w:rPr>
          <w:lang w:val="en-US" w:eastAsia="ja-JP"/>
        </w:rPr>
        <w:t>”</w:t>
      </w:r>
      <w:r w:rsidR="003532A2">
        <w:rPr>
          <w:lang w:val="en-US" w:eastAsia="ja-JP"/>
        </w:rPr>
        <w:t xml:space="preserve"> </w:t>
      </w:r>
      <w:r w:rsidR="003E53BB">
        <w:rPr>
          <w:lang w:val="en-US" w:eastAsia="ja-JP"/>
        </w:rPr>
        <w:t xml:space="preserve">(i.e., </w:t>
      </w:r>
      <w:r w:rsidR="003532A2">
        <w:rPr>
          <w:lang w:val="en-US" w:eastAsia="ja-JP"/>
        </w:rPr>
        <w:t>24.25-27.5 GHz</w:t>
      </w:r>
      <w:r w:rsidR="003E53BB">
        <w:rPr>
          <w:lang w:val="en-US" w:eastAsia="ja-JP"/>
        </w:rPr>
        <w:t>)</w:t>
      </w:r>
      <w:r>
        <w:rPr>
          <w:lang w:val="en-US" w:eastAsia="ja-JP"/>
        </w:rPr>
        <w:t xml:space="preserve"> brought into use until 1</w:t>
      </w:r>
      <w:r w:rsidRPr="00023D10">
        <w:rPr>
          <w:vertAlign w:val="superscript"/>
          <w:lang w:val="en-US" w:eastAsia="ja-JP"/>
        </w:rPr>
        <w:t>st</w:t>
      </w:r>
      <w:r>
        <w:rPr>
          <w:lang w:val="en-US" w:eastAsia="ja-JP"/>
        </w:rPr>
        <w:t xml:space="preserve"> Sep. 2027 and -39 dBW/200MHz after </w:t>
      </w:r>
      <w:r w:rsidR="00A311FE">
        <w:rPr>
          <w:lang w:val="en-US" w:eastAsia="ja-JP"/>
        </w:rPr>
        <w:t>1</w:t>
      </w:r>
      <w:r w:rsidR="00A311FE" w:rsidRPr="00023D10">
        <w:rPr>
          <w:vertAlign w:val="superscript"/>
          <w:lang w:val="en-US" w:eastAsia="ja-JP"/>
        </w:rPr>
        <w:t>st</w:t>
      </w:r>
      <w:r w:rsidR="00A311FE">
        <w:rPr>
          <w:lang w:val="en-US" w:eastAsia="ja-JP"/>
        </w:rPr>
        <w:t xml:space="preserve"> Sep. 2027</w:t>
      </w:r>
      <w:r>
        <w:rPr>
          <w:lang w:val="en-US" w:eastAsia="ja-JP"/>
        </w:rPr>
        <w:t xml:space="preserve">. </w:t>
      </w:r>
      <w:r w:rsidR="0031464C">
        <w:rPr>
          <w:lang w:val="en-US" w:eastAsia="ja-JP"/>
        </w:rPr>
        <w:t>Also</w:t>
      </w:r>
      <w:r w:rsidR="004B42EE">
        <w:rPr>
          <w:lang w:val="en-US" w:eastAsia="ja-JP"/>
        </w:rPr>
        <w:t xml:space="preserve"> the requirement is </w:t>
      </w:r>
      <w:r w:rsidR="00A46548">
        <w:rPr>
          <w:lang w:val="en-US" w:eastAsia="ja-JP"/>
        </w:rPr>
        <w:t xml:space="preserve">defined </w:t>
      </w:r>
      <w:r w:rsidR="004B42EE">
        <w:rPr>
          <w:lang w:val="en-US" w:eastAsia="ja-JP"/>
        </w:rPr>
        <w:t>in</w:t>
      </w:r>
      <w:r w:rsidR="00A46548">
        <w:rPr>
          <w:lang w:val="en-US" w:eastAsia="ja-JP"/>
        </w:rPr>
        <w:t xml:space="preserve"> total radiated power (TRP)</w:t>
      </w:r>
      <w:r w:rsidR="004B42EE">
        <w:rPr>
          <w:lang w:val="en-US" w:eastAsia="ja-JP"/>
        </w:rPr>
        <w:t xml:space="preserve"> metric</w:t>
      </w:r>
      <w:r w:rsidR="00A46548">
        <w:rPr>
          <w:lang w:val="en-US" w:eastAsia="ja-JP"/>
        </w:rPr>
        <w:t xml:space="preserve"> which is</w:t>
      </w:r>
      <w:r w:rsidR="00185CCD">
        <w:rPr>
          <w:lang w:val="en-US" w:eastAsia="ja-JP"/>
        </w:rPr>
        <w:t xml:space="preserve"> the same</w:t>
      </w:r>
      <w:r w:rsidR="004B42EE">
        <w:rPr>
          <w:lang w:val="en-US" w:eastAsia="ja-JP"/>
        </w:rPr>
        <w:t xml:space="preserve"> </w:t>
      </w:r>
      <w:r>
        <w:rPr>
          <w:lang w:val="en-US" w:eastAsia="ja-JP"/>
        </w:rPr>
        <w:t>as</w:t>
      </w:r>
      <w:r w:rsidR="003071AC">
        <w:rPr>
          <w:lang w:val="en-US" w:eastAsia="ja-JP"/>
        </w:rPr>
        <w:t xml:space="preserve"> </w:t>
      </w:r>
      <w:r w:rsidR="003532A2">
        <w:rPr>
          <w:lang w:val="en-US" w:eastAsia="ja-JP"/>
        </w:rPr>
        <w:t xml:space="preserve">the </w:t>
      </w:r>
      <w:r w:rsidR="003071AC">
        <w:rPr>
          <w:lang w:val="en-US" w:eastAsia="ja-JP"/>
        </w:rPr>
        <w:t>unwanted emission requirements</w:t>
      </w:r>
      <w:r w:rsidR="00A46548">
        <w:rPr>
          <w:lang w:val="en-US" w:eastAsia="ja-JP"/>
        </w:rPr>
        <w:t xml:space="preserve"> defined in TS 38.104/141-2</w:t>
      </w:r>
      <w:r w:rsidR="00185CCD">
        <w:rPr>
          <w:lang w:val="en-US" w:eastAsia="ja-JP"/>
        </w:rPr>
        <w:t>.</w:t>
      </w:r>
    </w:p>
    <w:p w14:paraId="782454C6" w14:textId="1370B4E1" w:rsidR="00F957DB" w:rsidRDefault="00A46548" w:rsidP="00F957DB">
      <w:pPr>
        <w:pStyle w:val="2"/>
        <w:rPr>
          <w:lang w:val="en-US" w:eastAsia="ja-JP"/>
        </w:rPr>
      </w:pPr>
      <w:r>
        <w:rPr>
          <w:rFonts w:hint="eastAsia"/>
          <w:lang w:val="en-US" w:eastAsia="ja-JP"/>
        </w:rPr>
        <w:lastRenderedPageBreak/>
        <w:t>2.2.</w:t>
      </w:r>
      <w:r>
        <w:rPr>
          <w:rFonts w:hint="eastAsia"/>
          <w:lang w:val="en-US" w:eastAsia="ja-JP"/>
        </w:rPr>
        <w:tab/>
      </w:r>
      <w:r w:rsidR="004B42EE">
        <w:rPr>
          <w:lang w:val="en-US" w:eastAsia="ja-JP"/>
        </w:rPr>
        <w:t>Requirement for the EESS (passive) protection</w:t>
      </w:r>
    </w:p>
    <w:p w14:paraId="49B974B1" w14:textId="78CD25DB" w:rsidR="00B00821" w:rsidRDefault="00B00821" w:rsidP="00B00821">
      <w:pPr>
        <w:jc w:val="both"/>
        <w:rPr>
          <w:lang w:val="en-US" w:eastAsia="ja-JP"/>
        </w:rPr>
      </w:pPr>
      <w:r>
        <w:rPr>
          <w:lang w:val="en-US" w:eastAsia="ja-JP"/>
        </w:rPr>
        <w:t>Figure 1</w:t>
      </w:r>
      <w:r w:rsidRPr="00B00821">
        <w:rPr>
          <w:rFonts w:hint="eastAsia"/>
          <w:lang w:val="en-US" w:eastAsia="ja-JP"/>
        </w:rPr>
        <w:t xml:space="preserve"> </w:t>
      </w:r>
      <w:r>
        <w:rPr>
          <w:lang w:val="en-US" w:eastAsia="ja-JP"/>
        </w:rPr>
        <w:t xml:space="preserve">shows the relationship among the EESS (passive) band and NR FR2 operating bands. </w:t>
      </w:r>
    </w:p>
    <w:p w14:paraId="2E386196" w14:textId="77777777" w:rsidR="00B00821" w:rsidRDefault="00EE6D74" w:rsidP="00B00821">
      <w:pPr>
        <w:jc w:val="center"/>
        <w:rPr>
          <w:lang w:val="en-US" w:eastAsia="ja-JP"/>
        </w:rPr>
      </w:pPr>
      <w:r>
        <w:rPr>
          <w:lang w:val="en-US" w:eastAsia="ja-JP"/>
        </w:rPr>
        <w:pict w14:anchorId="0872912F">
          <v:shape id="_x0000_i1027" type="#_x0000_t75" style="width:289.5pt;height:175.5pt;mso-left-percent:-10001;mso-top-percent:-10001;mso-position-horizontal:absolute;mso-position-horizontal-relative:char;mso-position-vertical:absolute;mso-position-vertical-relative:line;mso-left-percent:-10001;mso-top-percent:-10001">
            <v:imagedata r:id="rId9" o:title=""/>
          </v:shape>
        </w:pict>
      </w:r>
    </w:p>
    <w:p w14:paraId="44048318" w14:textId="77777777" w:rsidR="00B00821" w:rsidRPr="00023D10" w:rsidRDefault="00B00821" w:rsidP="00B00821">
      <w:pPr>
        <w:jc w:val="center"/>
        <w:rPr>
          <w:b/>
          <w:lang w:val="en-US" w:eastAsia="ja-JP"/>
        </w:rPr>
      </w:pPr>
      <w:r>
        <w:rPr>
          <w:rFonts w:hint="eastAsia"/>
          <w:b/>
          <w:lang w:val="en-US" w:eastAsia="ja-JP"/>
        </w:rPr>
        <w:t>Figure 1</w:t>
      </w:r>
      <w:r w:rsidRPr="00023D10">
        <w:rPr>
          <w:rFonts w:hint="eastAsia"/>
          <w:b/>
          <w:lang w:val="en-US" w:eastAsia="ja-JP"/>
        </w:rPr>
        <w:t xml:space="preserve">: The relationship </w:t>
      </w:r>
      <w:r w:rsidRPr="00023D10">
        <w:rPr>
          <w:b/>
          <w:lang w:val="en-US" w:eastAsia="ja-JP"/>
        </w:rPr>
        <w:t>among the EESS (passive) band and NR operating bands</w:t>
      </w:r>
    </w:p>
    <w:p w14:paraId="4498DBC1" w14:textId="355BA0FA" w:rsidR="00760D23" w:rsidRDefault="00B00821" w:rsidP="00B00821">
      <w:pPr>
        <w:jc w:val="both"/>
        <w:rPr>
          <w:lang w:val="en-US" w:eastAsia="ja-JP"/>
        </w:rPr>
      </w:pPr>
      <w:r>
        <w:rPr>
          <w:lang w:val="en-US" w:eastAsia="ja-JP"/>
        </w:rPr>
        <w:t>As mentioned in section 2.1</w:t>
      </w:r>
      <w:r>
        <w:rPr>
          <w:rFonts w:hint="eastAsia"/>
          <w:lang w:val="en-US" w:eastAsia="ja-JP"/>
        </w:rPr>
        <w:t xml:space="preserve">, </w:t>
      </w:r>
      <w:r>
        <w:rPr>
          <w:lang w:val="en-US" w:eastAsia="ja-JP"/>
        </w:rPr>
        <w:t xml:space="preserve">the unwanted emission requirement for the EESS (passive) protection may apply to BS operating within </w:t>
      </w:r>
      <w:r w:rsidR="003E53BB">
        <w:rPr>
          <w:lang w:val="en-US" w:eastAsia="ja-JP"/>
        </w:rPr>
        <w:t xml:space="preserve">the </w:t>
      </w:r>
      <w:r>
        <w:rPr>
          <w:lang w:val="en-US" w:eastAsia="ja-JP"/>
        </w:rPr>
        <w:t>“Active service band”</w:t>
      </w:r>
      <w:r w:rsidR="00B3714F">
        <w:rPr>
          <w:lang w:val="en-US" w:eastAsia="ja-JP"/>
        </w:rPr>
        <w:t xml:space="preserve">. </w:t>
      </w:r>
      <w:r w:rsidR="004D68C8">
        <w:rPr>
          <w:lang w:val="en-US" w:eastAsia="ja-JP"/>
        </w:rPr>
        <w:t>As shown in Figure 1, band n257 and n258 overlap with the “Active service band”. Hence band n257 and n258 can be considered for the new requirement.</w:t>
      </w:r>
    </w:p>
    <w:p w14:paraId="59B1F503" w14:textId="6D9756E0" w:rsidR="00134E00" w:rsidRPr="00760D23" w:rsidRDefault="004D68C8" w:rsidP="00B00821">
      <w:pPr>
        <w:jc w:val="both"/>
        <w:rPr>
          <w:lang w:val="en-US" w:eastAsia="ja-JP"/>
        </w:rPr>
      </w:pPr>
      <w:r>
        <w:rPr>
          <w:lang w:val="en-US" w:eastAsia="ja-JP"/>
        </w:rPr>
        <w:t>In addition, f</w:t>
      </w:r>
      <w:r w:rsidR="00B10A21">
        <w:rPr>
          <w:lang w:val="en-US" w:eastAsia="ja-JP"/>
        </w:rPr>
        <w:t xml:space="preserve">or </w:t>
      </w:r>
      <w:r>
        <w:rPr>
          <w:lang w:val="en-US" w:eastAsia="ja-JP"/>
        </w:rPr>
        <w:t>band-</w:t>
      </w:r>
      <w:r w:rsidR="00B10A21">
        <w:rPr>
          <w:lang w:val="en-US" w:eastAsia="ja-JP"/>
        </w:rPr>
        <w:t xml:space="preserve">specific </w:t>
      </w:r>
      <w:r w:rsidR="00760D23">
        <w:rPr>
          <w:lang w:val="en-US" w:eastAsia="ja-JP"/>
        </w:rPr>
        <w:t xml:space="preserve">BS RF </w:t>
      </w:r>
      <w:r w:rsidR="00B10A21">
        <w:rPr>
          <w:lang w:val="en-US" w:eastAsia="ja-JP"/>
        </w:rPr>
        <w:t>requirement, it is appropriate to introduce additional operating band unwanted emissions (OBUE) requirement</w:t>
      </w:r>
      <w:r>
        <w:rPr>
          <w:lang w:val="en-US" w:eastAsia="ja-JP"/>
        </w:rPr>
        <w:t>s</w:t>
      </w:r>
      <w:r w:rsidR="00B10A21">
        <w:rPr>
          <w:lang w:val="en-US" w:eastAsia="ja-JP"/>
        </w:rPr>
        <w:t xml:space="preserve">. </w:t>
      </w:r>
      <w:r w:rsidR="00760D23">
        <w:rPr>
          <w:lang w:val="en-US" w:eastAsia="ja-JP"/>
        </w:rPr>
        <w:t>Thus, it is proposed to introduce new additional OBUE requirement</w:t>
      </w:r>
      <w:r>
        <w:rPr>
          <w:lang w:val="en-US" w:eastAsia="ja-JP"/>
        </w:rPr>
        <w:t>s</w:t>
      </w:r>
      <w:r w:rsidR="00760D23">
        <w:rPr>
          <w:lang w:val="en-US" w:eastAsia="ja-JP"/>
        </w:rPr>
        <w:t xml:space="preserve"> for the EESS (passive) protection. </w:t>
      </w:r>
      <w:r w:rsidR="00B10A21">
        <w:rPr>
          <w:lang w:val="en-US" w:eastAsia="ja-JP"/>
        </w:rPr>
        <w:t xml:space="preserve">It would be noted that </w:t>
      </w:r>
      <w:r w:rsidR="00B10A21">
        <w:t>the new</w:t>
      </w:r>
      <w:r w:rsidR="00B10A21" w:rsidRPr="00E26D09">
        <w:t xml:space="preserve"> requirement</w:t>
      </w:r>
      <w:r>
        <w:t>s</w:t>
      </w:r>
      <w:r w:rsidR="00B10A21" w:rsidRPr="00E26D09">
        <w:t xml:space="preserve"> </w:t>
      </w:r>
      <w:r w:rsidR="003E53BB">
        <w:t>may apply</w:t>
      </w:r>
      <w:r w:rsidR="00B10A21" w:rsidRPr="00E26D09">
        <w:t xml:space="preserve"> in the frequency range </w:t>
      </w:r>
      <w:r w:rsidR="00B10A21">
        <w:t>23.6 – 24 GHz</w:t>
      </w:r>
      <w:r w:rsidR="00B10A21" w:rsidRPr="00E26D09">
        <w:t xml:space="preserve"> even though part of the range falls in the spurious domain</w:t>
      </w:r>
      <w:r w:rsidR="00B10A21">
        <w:t xml:space="preserve"> of band n257</w:t>
      </w:r>
      <w:r w:rsidR="00B10A21">
        <w:rPr>
          <w:rFonts w:hint="eastAsia"/>
          <w:lang w:eastAsia="ja-JP"/>
        </w:rPr>
        <w:t>.</w:t>
      </w:r>
    </w:p>
    <w:p w14:paraId="6CCF0F40" w14:textId="3CCFA952" w:rsidR="00B10A21" w:rsidRDefault="00B10A21" w:rsidP="00B10A21">
      <w:pPr>
        <w:jc w:val="both"/>
        <w:rPr>
          <w:b/>
          <w:lang w:val="en-US" w:eastAsia="ja-JP"/>
        </w:rPr>
      </w:pPr>
      <w:r w:rsidRPr="00F33C1F">
        <w:rPr>
          <w:b/>
          <w:lang w:val="en-US" w:eastAsia="ja-JP"/>
        </w:rPr>
        <w:t>Prop</w:t>
      </w:r>
      <w:r w:rsidRPr="008E1A58">
        <w:rPr>
          <w:b/>
          <w:lang w:val="en-US" w:eastAsia="ja-JP"/>
        </w:rPr>
        <w:t>osal 1: Introduce new additional OBUE requirement</w:t>
      </w:r>
      <w:r w:rsidR="00235A17" w:rsidRPr="008E1A58">
        <w:rPr>
          <w:b/>
          <w:lang w:val="en-US" w:eastAsia="ja-JP"/>
        </w:rPr>
        <w:t>s</w:t>
      </w:r>
      <w:r w:rsidRPr="008E1A58">
        <w:rPr>
          <w:b/>
          <w:lang w:val="en-US" w:eastAsia="ja-JP"/>
        </w:rPr>
        <w:t xml:space="preserve"> for the EESS (passive)</w:t>
      </w:r>
      <w:r w:rsidR="008E1A58">
        <w:rPr>
          <w:b/>
          <w:lang w:val="en-US" w:eastAsia="ja-JP"/>
        </w:rPr>
        <w:t xml:space="preserve"> (</w:t>
      </w:r>
      <w:r w:rsidR="008E1A58" w:rsidRPr="008E1A58">
        <w:rPr>
          <w:b/>
        </w:rPr>
        <w:t xml:space="preserve">23.6 – 24 </w:t>
      </w:r>
      <w:r w:rsidR="008E1A58" w:rsidRPr="008E1A58">
        <w:rPr>
          <w:b/>
          <w:lang w:val="en-US" w:eastAsia="ja-JP"/>
        </w:rPr>
        <w:t>GHz</w:t>
      </w:r>
      <w:r w:rsidR="008E1A58">
        <w:rPr>
          <w:b/>
          <w:lang w:val="en-US" w:eastAsia="ja-JP"/>
        </w:rPr>
        <w:t>)</w:t>
      </w:r>
      <w:r w:rsidR="008E1A58" w:rsidRPr="008E1A58">
        <w:rPr>
          <w:b/>
          <w:lang w:val="en-US" w:eastAsia="ja-JP"/>
        </w:rPr>
        <w:t xml:space="preserve"> protection</w:t>
      </w:r>
    </w:p>
    <w:p w14:paraId="7A3764EB" w14:textId="5BA2E02A" w:rsidR="00284A97" w:rsidRPr="00235A17" w:rsidRDefault="003E53BB" w:rsidP="00284A97">
      <w:pPr>
        <w:jc w:val="both"/>
        <w:rPr>
          <w:lang w:val="en-US" w:eastAsia="ja-JP"/>
        </w:rPr>
      </w:pPr>
      <w:r w:rsidRPr="003E53BB">
        <w:rPr>
          <w:lang w:val="en-US" w:eastAsia="ja-JP"/>
        </w:rPr>
        <w:t xml:space="preserve">For </w:t>
      </w:r>
      <w:r w:rsidR="004D68C8">
        <w:rPr>
          <w:lang w:val="en-US" w:eastAsia="ja-JP"/>
        </w:rPr>
        <w:t xml:space="preserve">BSs </w:t>
      </w:r>
      <w:r w:rsidR="00235A17">
        <w:rPr>
          <w:lang w:val="en-US" w:eastAsia="ja-JP"/>
        </w:rPr>
        <w:t xml:space="preserve">that </w:t>
      </w:r>
      <w:r w:rsidR="004D68C8">
        <w:rPr>
          <w:lang w:val="en-US" w:eastAsia="ja-JP"/>
        </w:rPr>
        <w:t>support</w:t>
      </w:r>
      <w:r w:rsidR="00235A17">
        <w:rPr>
          <w:lang w:val="en-US" w:eastAsia="ja-JP"/>
        </w:rPr>
        <w:t xml:space="preserve"> </w:t>
      </w:r>
      <w:r w:rsidR="004D68C8">
        <w:rPr>
          <w:lang w:val="en-US" w:eastAsia="ja-JP"/>
        </w:rPr>
        <w:t>band n258</w:t>
      </w:r>
      <w:r w:rsidRPr="003E53BB">
        <w:rPr>
          <w:lang w:val="en-US" w:eastAsia="ja-JP"/>
        </w:rPr>
        <w:t xml:space="preserve">, </w:t>
      </w:r>
      <w:r w:rsidR="004D68C8">
        <w:rPr>
          <w:lang w:val="en-US" w:eastAsia="ja-JP"/>
        </w:rPr>
        <w:t>the new requirement may</w:t>
      </w:r>
      <w:r w:rsidR="00235A17">
        <w:rPr>
          <w:lang w:val="en-US" w:eastAsia="ja-JP"/>
        </w:rPr>
        <w:t xml:space="preserve"> be</w:t>
      </w:r>
      <w:r w:rsidR="004D68C8">
        <w:rPr>
          <w:lang w:val="en-US" w:eastAsia="ja-JP"/>
        </w:rPr>
        <w:t xml:space="preserve"> </w:t>
      </w:r>
      <w:r w:rsidR="00235A17">
        <w:rPr>
          <w:lang w:val="en-US" w:eastAsia="ja-JP"/>
        </w:rPr>
        <w:t>applied to any BS,</w:t>
      </w:r>
      <w:r w:rsidR="004D68C8">
        <w:rPr>
          <w:lang w:val="en-US" w:eastAsia="ja-JP"/>
        </w:rPr>
        <w:t xml:space="preserve"> since </w:t>
      </w:r>
      <w:r w:rsidR="00235A17">
        <w:rPr>
          <w:lang w:val="en-US" w:eastAsia="ja-JP"/>
        </w:rPr>
        <w:t>the band</w:t>
      </w:r>
      <w:r w:rsidR="004D68C8">
        <w:rPr>
          <w:lang w:val="en-US" w:eastAsia="ja-JP"/>
        </w:rPr>
        <w:t xml:space="preserve"> completely overlaps with the “Active service band” </w:t>
      </w:r>
      <w:r w:rsidRPr="003E53BB">
        <w:rPr>
          <w:lang w:val="en-US" w:eastAsia="ja-JP"/>
        </w:rPr>
        <w:t>as shown in Figure 1</w:t>
      </w:r>
      <w:r w:rsidR="004D68C8">
        <w:rPr>
          <w:lang w:val="en-US" w:eastAsia="ja-JP"/>
        </w:rPr>
        <w:t xml:space="preserve">. </w:t>
      </w:r>
      <w:r>
        <w:rPr>
          <w:lang w:val="en-US" w:eastAsia="ja-JP"/>
        </w:rPr>
        <w:t>O</w:t>
      </w:r>
      <w:r w:rsidRPr="003E53BB">
        <w:rPr>
          <w:lang w:val="en-US" w:eastAsia="ja-JP"/>
        </w:rPr>
        <w:t>n the other hand</w:t>
      </w:r>
      <w:r>
        <w:rPr>
          <w:lang w:val="en-US" w:eastAsia="ja-JP"/>
        </w:rPr>
        <w:t xml:space="preserve">, </w:t>
      </w:r>
      <w:r w:rsidR="00235A17">
        <w:rPr>
          <w:lang w:val="en-US" w:eastAsia="ja-JP"/>
        </w:rPr>
        <w:t>for BSs supporting band n257, three typical overlapping cases can be considered as shown in Figure 2.</w:t>
      </w:r>
    </w:p>
    <w:p w14:paraId="1EFB1CB3" w14:textId="790B753E" w:rsidR="00284A97" w:rsidRDefault="00284A97" w:rsidP="00284A97">
      <w:pPr>
        <w:ind w:left="1704" w:hanging="1420"/>
        <w:jc w:val="both"/>
        <w:rPr>
          <w:lang w:val="en-US" w:eastAsia="ja-JP"/>
        </w:rPr>
      </w:pPr>
      <w:r>
        <w:rPr>
          <w:lang w:val="en-US" w:eastAsia="ja-JP"/>
        </w:rPr>
        <w:t>Case 1 (BS_A):</w:t>
      </w:r>
      <w:r>
        <w:rPr>
          <w:lang w:val="en-US" w:eastAsia="ja-JP"/>
        </w:rPr>
        <w:tab/>
        <w:t xml:space="preserve">Completely-overlapped (BS supporting </w:t>
      </w:r>
      <w:r w:rsidR="00257479">
        <w:rPr>
          <w:lang w:val="en-US" w:eastAsia="ja-JP"/>
        </w:rPr>
        <w:t xml:space="preserve">a </w:t>
      </w:r>
      <w:r>
        <w:rPr>
          <w:lang w:val="en-US" w:eastAsia="ja-JP"/>
        </w:rPr>
        <w:t>frequency</w:t>
      </w:r>
      <w:r w:rsidR="00257479">
        <w:rPr>
          <w:lang w:val="en-US" w:eastAsia="ja-JP"/>
        </w:rPr>
        <w:t xml:space="preserve"> range</w:t>
      </w:r>
      <w:r>
        <w:rPr>
          <w:lang w:val="en-US" w:eastAsia="ja-JP"/>
        </w:rPr>
        <w:t xml:space="preserve"> c</w:t>
      </w:r>
      <w:r w:rsidR="00257479">
        <w:rPr>
          <w:lang w:val="en-US" w:eastAsia="ja-JP"/>
        </w:rPr>
        <w:t xml:space="preserve">ompletely overlapped with </w:t>
      </w:r>
      <w:r w:rsidR="003E53BB">
        <w:rPr>
          <w:lang w:val="en-US" w:eastAsia="ja-JP"/>
        </w:rPr>
        <w:t xml:space="preserve">the </w:t>
      </w:r>
      <w:r w:rsidR="00257479">
        <w:rPr>
          <w:lang w:val="en-US" w:eastAsia="ja-JP"/>
        </w:rPr>
        <w:t>“A</w:t>
      </w:r>
      <w:r>
        <w:rPr>
          <w:lang w:val="en-US" w:eastAsia="ja-JP"/>
        </w:rPr>
        <w:t>ctive service band”)</w:t>
      </w:r>
    </w:p>
    <w:p w14:paraId="2288B295" w14:textId="1BD90059" w:rsidR="00284A97" w:rsidRDefault="00284A97" w:rsidP="00257479">
      <w:pPr>
        <w:ind w:left="1704" w:hanging="1419"/>
        <w:jc w:val="both"/>
        <w:rPr>
          <w:lang w:val="en-US" w:eastAsia="ja-JP"/>
        </w:rPr>
      </w:pPr>
      <w:r>
        <w:rPr>
          <w:lang w:val="en-US" w:eastAsia="ja-JP"/>
        </w:rPr>
        <w:t>Case 2 (BS_B):</w:t>
      </w:r>
      <w:r>
        <w:rPr>
          <w:lang w:val="en-US" w:eastAsia="ja-JP"/>
        </w:rPr>
        <w:tab/>
        <w:t xml:space="preserve">Partially-overlapped (BS supporting </w:t>
      </w:r>
      <w:r w:rsidR="00257479">
        <w:rPr>
          <w:lang w:val="en-US" w:eastAsia="ja-JP"/>
        </w:rPr>
        <w:t xml:space="preserve">a </w:t>
      </w:r>
      <w:r>
        <w:rPr>
          <w:lang w:val="en-US" w:eastAsia="ja-JP"/>
        </w:rPr>
        <w:t>frequency</w:t>
      </w:r>
      <w:r w:rsidR="00257479">
        <w:rPr>
          <w:lang w:val="en-US" w:eastAsia="ja-JP"/>
        </w:rPr>
        <w:t xml:space="preserve"> range</w:t>
      </w:r>
      <w:r>
        <w:rPr>
          <w:lang w:val="en-US" w:eastAsia="ja-JP"/>
        </w:rPr>
        <w:t xml:space="preserve"> </w:t>
      </w:r>
      <w:r w:rsidR="00257479">
        <w:rPr>
          <w:lang w:val="en-US" w:eastAsia="ja-JP"/>
        </w:rPr>
        <w:t xml:space="preserve">partially overlapped with </w:t>
      </w:r>
      <w:r w:rsidR="003E53BB">
        <w:rPr>
          <w:lang w:val="en-US" w:eastAsia="ja-JP"/>
        </w:rPr>
        <w:t xml:space="preserve">the </w:t>
      </w:r>
      <w:r w:rsidR="00257479">
        <w:rPr>
          <w:lang w:val="en-US" w:eastAsia="ja-JP"/>
        </w:rPr>
        <w:t>“A</w:t>
      </w:r>
      <w:r>
        <w:rPr>
          <w:lang w:val="en-US" w:eastAsia="ja-JP"/>
        </w:rPr>
        <w:t>ctive service band”)</w:t>
      </w:r>
    </w:p>
    <w:p w14:paraId="7137B067" w14:textId="02BDF38B" w:rsidR="00284A97" w:rsidRDefault="00284A97" w:rsidP="00284A97">
      <w:pPr>
        <w:jc w:val="both"/>
        <w:rPr>
          <w:lang w:val="en-US" w:eastAsia="ja-JP"/>
        </w:rPr>
      </w:pPr>
      <w:r>
        <w:rPr>
          <w:lang w:val="en-US" w:eastAsia="ja-JP"/>
        </w:rPr>
        <w:tab/>
        <w:t>Case 3 (BS_C):</w:t>
      </w:r>
      <w:r>
        <w:rPr>
          <w:lang w:val="en-US" w:eastAsia="ja-JP"/>
        </w:rPr>
        <w:tab/>
        <w:t xml:space="preserve">Non-overlapped (BS supporting </w:t>
      </w:r>
      <w:r w:rsidR="00257479">
        <w:rPr>
          <w:lang w:val="en-US" w:eastAsia="ja-JP"/>
        </w:rPr>
        <w:t xml:space="preserve">a </w:t>
      </w:r>
      <w:r>
        <w:rPr>
          <w:lang w:val="en-US" w:eastAsia="ja-JP"/>
        </w:rPr>
        <w:t>frequency</w:t>
      </w:r>
      <w:r w:rsidR="00257479">
        <w:rPr>
          <w:lang w:val="en-US" w:eastAsia="ja-JP"/>
        </w:rPr>
        <w:t xml:space="preserve"> range not overlapped with </w:t>
      </w:r>
      <w:r w:rsidR="003E53BB">
        <w:rPr>
          <w:lang w:val="en-US" w:eastAsia="ja-JP"/>
        </w:rPr>
        <w:t xml:space="preserve">the </w:t>
      </w:r>
      <w:r w:rsidR="00257479">
        <w:rPr>
          <w:lang w:val="en-US" w:eastAsia="ja-JP"/>
        </w:rPr>
        <w:t>“A</w:t>
      </w:r>
      <w:r>
        <w:rPr>
          <w:lang w:val="en-US" w:eastAsia="ja-JP"/>
        </w:rPr>
        <w:t xml:space="preserve">ctive service band”) </w:t>
      </w:r>
    </w:p>
    <w:p w14:paraId="00775B0E" w14:textId="77777777" w:rsidR="00284A97" w:rsidRDefault="00EE6D74" w:rsidP="00284A97">
      <w:pPr>
        <w:jc w:val="center"/>
        <w:rPr>
          <w:lang w:val="en-US" w:eastAsia="ja-JP"/>
        </w:rPr>
      </w:pPr>
      <w:r>
        <w:rPr>
          <w:lang w:val="en-US" w:eastAsia="ja-JP"/>
        </w:rPr>
        <w:pict w14:anchorId="55CDC64E">
          <v:shape id="_x0000_i1028" type="#_x0000_t75" style="width:309.75pt;height:162pt;mso-left-percent:-10001;mso-top-percent:-10001;mso-position-horizontal:absolute;mso-position-horizontal-relative:char;mso-position-vertical:absolute;mso-position-vertical-relative:line;mso-left-percent:-10001;mso-top-percent:-10001">
            <v:imagedata r:id="rId10" o:title=""/>
          </v:shape>
        </w:pict>
      </w:r>
    </w:p>
    <w:p w14:paraId="7DECD078" w14:textId="77777777" w:rsidR="00284A97" w:rsidRDefault="00284A97" w:rsidP="00284A97">
      <w:pPr>
        <w:jc w:val="center"/>
        <w:rPr>
          <w:lang w:val="en-US" w:eastAsia="ja-JP"/>
        </w:rPr>
      </w:pPr>
      <w:r>
        <w:rPr>
          <w:rFonts w:hint="eastAsia"/>
          <w:b/>
          <w:lang w:val="en-US" w:eastAsia="ja-JP"/>
        </w:rPr>
        <w:t>Figure 2</w:t>
      </w:r>
      <w:r w:rsidRPr="00023D10">
        <w:rPr>
          <w:b/>
          <w:lang w:val="en-US" w:eastAsia="ja-JP"/>
        </w:rPr>
        <w:t xml:space="preserve">: </w:t>
      </w:r>
      <w:r>
        <w:rPr>
          <w:b/>
          <w:lang w:val="en-US" w:eastAsia="ja-JP"/>
        </w:rPr>
        <w:t>Relationship between “Active service band” and Band n257</w:t>
      </w:r>
    </w:p>
    <w:p w14:paraId="64704F05" w14:textId="6F11F894" w:rsidR="00257479" w:rsidRDefault="00257479" w:rsidP="003E53BB">
      <w:pPr>
        <w:jc w:val="both"/>
        <w:rPr>
          <w:lang w:val="en-US" w:eastAsia="ja-JP"/>
        </w:rPr>
      </w:pPr>
      <w:r w:rsidRPr="00257479">
        <w:rPr>
          <w:lang w:val="en-US" w:eastAsia="ja-JP"/>
        </w:rPr>
        <w:lastRenderedPageBreak/>
        <w:t xml:space="preserve">From an RF perspective, emission levels decrease with frequency offset from the edge of the operating band. Therefore, it is reasonable to interpret that the requirement may apply to BSs that support a frequency range that partially or completely overlaps with 24.25 </w:t>
      </w:r>
      <w:r w:rsidR="00CE4B12">
        <w:rPr>
          <w:lang w:val="en-US" w:eastAsia="ja-JP"/>
        </w:rPr>
        <w:t>-</w:t>
      </w:r>
      <w:r w:rsidRPr="00257479">
        <w:rPr>
          <w:lang w:val="en-US" w:eastAsia="ja-JP"/>
        </w:rPr>
        <w:t xml:space="preserve"> </w:t>
      </w:r>
      <w:r w:rsidR="00CE4B12">
        <w:rPr>
          <w:lang w:val="en-US" w:eastAsia="ja-JP"/>
        </w:rPr>
        <w:t>2</w:t>
      </w:r>
      <w:r w:rsidRPr="00257479">
        <w:rPr>
          <w:lang w:val="en-US" w:eastAsia="ja-JP"/>
        </w:rPr>
        <w:t xml:space="preserve">7.5GHz. </w:t>
      </w:r>
      <w:r w:rsidR="00F26BC3">
        <w:rPr>
          <w:lang w:val="en-US" w:eastAsia="ja-JP"/>
        </w:rPr>
        <w:t>This means that</w:t>
      </w:r>
      <w:r w:rsidRPr="00257479">
        <w:rPr>
          <w:lang w:val="en-US" w:eastAsia="ja-JP"/>
        </w:rPr>
        <w:t xml:space="preserve"> the requirement</w:t>
      </w:r>
      <w:r w:rsidR="00CE4B12">
        <w:rPr>
          <w:lang w:val="en-US" w:eastAsia="ja-JP"/>
        </w:rPr>
        <w:t xml:space="preserve"> applies to Case</w:t>
      </w:r>
      <w:r w:rsidRPr="00257479">
        <w:rPr>
          <w:lang w:val="en-US" w:eastAsia="ja-JP"/>
        </w:rPr>
        <w:t xml:space="preserve"> 1 and 2, but not to Case 3.</w:t>
      </w:r>
    </w:p>
    <w:p w14:paraId="0D235EE3" w14:textId="3B2E7F38" w:rsidR="005B7776" w:rsidRPr="00820203" w:rsidRDefault="005B7776" w:rsidP="005B7776">
      <w:pPr>
        <w:jc w:val="both"/>
        <w:rPr>
          <w:b/>
          <w:lang w:val="en-US" w:eastAsia="ja-JP"/>
        </w:rPr>
      </w:pPr>
      <w:r w:rsidRPr="00820203">
        <w:rPr>
          <w:b/>
          <w:lang w:val="en-US" w:eastAsia="ja-JP"/>
        </w:rPr>
        <w:t xml:space="preserve">Proposal 2: </w:t>
      </w:r>
      <w:r>
        <w:rPr>
          <w:b/>
          <w:lang w:val="en-US" w:eastAsia="ja-JP"/>
        </w:rPr>
        <w:t xml:space="preserve">The requirement for the EESS (passive) protection applies to </w:t>
      </w:r>
      <w:r w:rsidR="00B10A21">
        <w:rPr>
          <w:b/>
          <w:lang w:val="en-US" w:eastAsia="ja-JP"/>
        </w:rPr>
        <w:t xml:space="preserve">any </w:t>
      </w:r>
      <w:r>
        <w:rPr>
          <w:b/>
          <w:lang w:val="en-US" w:eastAsia="ja-JP"/>
        </w:rPr>
        <w:t xml:space="preserve">BSs that support a frequency range </w:t>
      </w:r>
      <w:r w:rsidR="00CE4B12">
        <w:rPr>
          <w:b/>
          <w:lang w:val="en-US" w:eastAsia="ja-JP"/>
        </w:rPr>
        <w:t>that</w:t>
      </w:r>
      <w:r>
        <w:rPr>
          <w:b/>
          <w:lang w:val="en-US" w:eastAsia="ja-JP"/>
        </w:rPr>
        <w:t xml:space="preserve"> partially or completely overlaps with “Active service band” (i.e., </w:t>
      </w:r>
      <w:r w:rsidR="00B10A21">
        <w:rPr>
          <w:b/>
          <w:lang w:val="en-US" w:eastAsia="ja-JP"/>
        </w:rPr>
        <w:t>24.25 – 27.5</w:t>
      </w:r>
      <w:r>
        <w:rPr>
          <w:b/>
          <w:lang w:val="en-US" w:eastAsia="ja-JP"/>
        </w:rPr>
        <w:t xml:space="preserve"> GHz).</w:t>
      </w:r>
    </w:p>
    <w:p w14:paraId="1FB7CC1D" w14:textId="1B4181F2" w:rsidR="00BC7493" w:rsidRPr="006A66E3" w:rsidRDefault="00BC7493" w:rsidP="00BC7493">
      <w:pPr>
        <w:jc w:val="both"/>
        <w:rPr>
          <w:lang w:val="en-US" w:eastAsia="ja-JP"/>
        </w:rPr>
      </w:pPr>
      <w:r>
        <w:rPr>
          <w:lang w:val="en-US" w:eastAsia="ja-JP"/>
        </w:rPr>
        <w:t xml:space="preserve">Finally, </w:t>
      </w:r>
      <w:r w:rsidR="00CE4B12">
        <w:rPr>
          <w:lang w:val="en-US" w:eastAsia="ja-JP"/>
        </w:rPr>
        <w:t>t</w:t>
      </w:r>
      <w:r>
        <w:rPr>
          <w:lang w:val="en-US" w:eastAsia="ja-JP"/>
        </w:rPr>
        <w:t xml:space="preserve">he following </w:t>
      </w:r>
      <w:r w:rsidR="00B021BE">
        <w:rPr>
          <w:lang w:val="en-US" w:eastAsia="ja-JP"/>
        </w:rPr>
        <w:t>limits</w:t>
      </w:r>
      <w:r>
        <w:rPr>
          <w:lang w:val="en-US" w:eastAsia="ja-JP"/>
        </w:rPr>
        <w:t xml:space="preserve"> can be considered</w:t>
      </w:r>
      <w:r w:rsidR="00B021BE">
        <w:rPr>
          <w:lang w:val="en-US" w:eastAsia="ja-JP"/>
        </w:rPr>
        <w:t xml:space="preserve"> in 3GPP specifications</w:t>
      </w:r>
      <w:r>
        <w:rPr>
          <w:lang w:val="en-US" w:eastAsia="ja-JP"/>
        </w:rPr>
        <w:t>:</w:t>
      </w:r>
    </w:p>
    <w:p w14:paraId="1C6831BD" w14:textId="77777777" w:rsidR="00B021BE" w:rsidRPr="00B021BE" w:rsidRDefault="00B021BE" w:rsidP="00B021BE">
      <w:pPr>
        <w:numPr>
          <w:ilvl w:val="0"/>
          <w:numId w:val="24"/>
        </w:numPr>
        <w:jc w:val="both"/>
        <w:rPr>
          <w:lang w:val="en-US" w:eastAsia="ja-JP"/>
        </w:rPr>
      </w:pPr>
      <w:r w:rsidRPr="00B021BE">
        <w:rPr>
          <w:lang w:val="en-US" w:eastAsia="ja-JP"/>
        </w:rPr>
        <w:t xml:space="preserve">-3 dBm/200MHz (= -33 dBW/200MHz) </w:t>
      </w:r>
      <w:r>
        <w:rPr>
          <w:lang w:val="en-US" w:eastAsia="ja-JP"/>
        </w:rPr>
        <w:t>which apply to BSs brought into use prior 1</w:t>
      </w:r>
      <w:r w:rsidRPr="00B021BE">
        <w:rPr>
          <w:vertAlign w:val="superscript"/>
          <w:lang w:val="en-US" w:eastAsia="ja-JP"/>
        </w:rPr>
        <w:t>st</w:t>
      </w:r>
      <w:r>
        <w:rPr>
          <w:lang w:val="en-US" w:eastAsia="ja-JP"/>
        </w:rPr>
        <w:t xml:space="preserve"> September 2027</w:t>
      </w:r>
    </w:p>
    <w:p w14:paraId="691E4215" w14:textId="6448D5FB" w:rsidR="00BC7493" w:rsidRDefault="00BC7493" w:rsidP="00BC7493">
      <w:pPr>
        <w:numPr>
          <w:ilvl w:val="0"/>
          <w:numId w:val="24"/>
        </w:numPr>
        <w:jc w:val="both"/>
        <w:rPr>
          <w:lang w:val="en-US" w:eastAsia="ja-JP"/>
        </w:rPr>
      </w:pPr>
      <w:r>
        <w:rPr>
          <w:lang w:val="en-US" w:eastAsia="ja-JP"/>
        </w:rPr>
        <w:t>-9 dBm/200MHz (= -39 dBW/200MHz)</w:t>
      </w:r>
      <w:r w:rsidR="00B021BE">
        <w:rPr>
          <w:lang w:val="en-US" w:eastAsia="ja-JP"/>
        </w:rPr>
        <w:t xml:space="preserve"> which apply to BSs brought into use after 1</w:t>
      </w:r>
      <w:r w:rsidR="00B021BE" w:rsidRPr="00B021BE">
        <w:rPr>
          <w:vertAlign w:val="superscript"/>
          <w:lang w:val="en-US" w:eastAsia="ja-JP"/>
        </w:rPr>
        <w:t>st</w:t>
      </w:r>
      <w:r w:rsidR="00B021BE">
        <w:rPr>
          <w:lang w:val="en-US" w:eastAsia="ja-JP"/>
        </w:rPr>
        <w:t xml:space="preserve"> September 2027</w:t>
      </w:r>
    </w:p>
    <w:p w14:paraId="5945F279" w14:textId="2E66AF99" w:rsidR="00B021BE" w:rsidRDefault="00880396" w:rsidP="00B021BE">
      <w:pPr>
        <w:jc w:val="both"/>
        <w:rPr>
          <w:lang w:val="en-US" w:eastAsia="ja-JP"/>
        </w:rPr>
      </w:pPr>
      <w:r>
        <w:rPr>
          <w:lang w:val="en-US" w:eastAsia="ja-JP"/>
        </w:rPr>
        <w:t>I</w:t>
      </w:r>
      <w:r w:rsidR="00B021BE">
        <w:rPr>
          <w:lang w:val="en-US" w:eastAsia="ja-JP"/>
        </w:rPr>
        <w:t xml:space="preserve">t is expected that the stricter limit will be </w:t>
      </w:r>
      <w:r>
        <w:rPr>
          <w:lang w:val="en-US" w:eastAsia="ja-JP"/>
        </w:rPr>
        <w:t xml:space="preserve">permanently </w:t>
      </w:r>
      <w:r w:rsidR="00B021BE">
        <w:rPr>
          <w:lang w:val="en-US" w:eastAsia="ja-JP"/>
        </w:rPr>
        <w:t>remained in the specification. Therefore, we propose to define a limit of -9dBm/200MHz and add a note indicating -3dBm/200MHz may apply to BS brought into use prior 1</w:t>
      </w:r>
      <w:r w:rsidR="00B021BE" w:rsidRPr="00B021BE">
        <w:rPr>
          <w:vertAlign w:val="superscript"/>
          <w:lang w:val="en-US" w:eastAsia="ja-JP"/>
        </w:rPr>
        <w:t>st</w:t>
      </w:r>
      <w:r w:rsidR="00B021BE">
        <w:rPr>
          <w:lang w:val="en-US" w:eastAsia="ja-JP"/>
        </w:rPr>
        <w:t xml:space="preserve"> September 2027.</w:t>
      </w:r>
    </w:p>
    <w:p w14:paraId="73E91449" w14:textId="5576E8DB" w:rsidR="00CE4B12" w:rsidRPr="00B021BE" w:rsidRDefault="00CE4B12" w:rsidP="00CE4B12">
      <w:pPr>
        <w:jc w:val="both"/>
        <w:rPr>
          <w:b/>
          <w:lang w:eastAsia="ja-JP"/>
        </w:rPr>
      </w:pPr>
      <w:r w:rsidRPr="00BC7493">
        <w:rPr>
          <w:b/>
          <w:lang w:eastAsia="ja-JP"/>
        </w:rPr>
        <w:t xml:space="preserve">Proposal 3: </w:t>
      </w:r>
      <w:r w:rsidR="00B021BE" w:rsidRPr="00B021BE">
        <w:rPr>
          <w:b/>
          <w:lang w:eastAsia="ja-JP"/>
        </w:rPr>
        <w:t>Define a limit of – 9dBm/200MHz in the frequency range 23.6 -24 GHz for the EESS (passive) protection, and add a note indicating a limit of -3dBm/200MHz may apply to BS brought into use prior 1st September 2027.</w:t>
      </w:r>
    </w:p>
    <w:p w14:paraId="6090F28E" w14:textId="00AFDB0E" w:rsidR="00BC7493" w:rsidRDefault="00BC7493" w:rsidP="00BC7493">
      <w:pPr>
        <w:rPr>
          <w:lang w:val="en-US" w:eastAsia="ja-JP"/>
        </w:rPr>
      </w:pPr>
      <w:r>
        <w:rPr>
          <w:lang w:val="en-US" w:eastAsia="ja-JP"/>
        </w:rPr>
        <w:t>B</w:t>
      </w:r>
      <w:r w:rsidR="005B7776">
        <w:rPr>
          <w:lang w:val="en-US" w:eastAsia="ja-JP"/>
        </w:rPr>
        <w:t xml:space="preserve">ased on </w:t>
      </w:r>
      <w:r w:rsidR="00235A17">
        <w:rPr>
          <w:lang w:val="en-US" w:eastAsia="ja-JP"/>
        </w:rPr>
        <w:t xml:space="preserve">the </w:t>
      </w:r>
      <w:r w:rsidR="005B7776">
        <w:rPr>
          <w:lang w:val="en-US" w:eastAsia="ja-JP"/>
        </w:rPr>
        <w:t xml:space="preserve">above </w:t>
      </w:r>
      <w:r>
        <w:rPr>
          <w:lang w:val="en-US" w:eastAsia="ja-JP"/>
        </w:rPr>
        <w:t>discussion, new additional OBUE requirement</w:t>
      </w:r>
      <w:r w:rsidR="00235A17">
        <w:rPr>
          <w:lang w:val="en-US" w:eastAsia="ja-JP"/>
        </w:rPr>
        <w:t>s</w:t>
      </w:r>
      <w:r>
        <w:rPr>
          <w:lang w:val="en-US" w:eastAsia="ja-JP"/>
        </w:rPr>
        <w:t xml:space="preserve"> for the EESS (passive) protection </w:t>
      </w:r>
      <w:r w:rsidR="00235A17">
        <w:rPr>
          <w:lang w:val="en-US" w:eastAsia="ja-JP"/>
        </w:rPr>
        <w:t>are</w:t>
      </w:r>
      <w:r>
        <w:rPr>
          <w:lang w:val="en-US" w:eastAsia="ja-JP"/>
        </w:rPr>
        <w:t xml:space="preserve"> proposed as Table 1.</w:t>
      </w:r>
    </w:p>
    <w:p w14:paraId="4409DCAE" w14:textId="77777777" w:rsidR="00BC7493" w:rsidRPr="004B42EE" w:rsidRDefault="00BC7493" w:rsidP="00BC7493">
      <w:pPr>
        <w:pStyle w:val="TH"/>
      </w:pPr>
      <w:r w:rsidRPr="00E26D09">
        <w:t xml:space="preserve">Table </w:t>
      </w:r>
      <w:r>
        <w:t>1</w:t>
      </w:r>
      <w:r w:rsidRPr="00E26D09">
        <w:t xml:space="preserve">: </w:t>
      </w:r>
      <w:r>
        <w:t xml:space="preserve">Proposed additional operating band unwanted emission </w:t>
      </w:r>
      <w:r w:rsidRPr="00E26D09">
        <w:rPr>
          <w:i/>
        </w:rPr>
        <w:t>basic limits</w:t>
      </w:r>
      <w:r w:rsidRPr="00E26D09">
        <w:t xml:space="preserve"> </w:t>
      </w:r>
      <w: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C7493" w:rsidRPr="00E26D09" w14:paraId="206E6413" w14:textId="77777777" w:rsidTr="00251CA0">
        <w:trPr>
          <w:cantSplit/>
          <w:jc w:val="center"/>
        </w:trPr>
        <w:tc>
          <w:tcPr>
            <w:tcW w:w="2538" w:type="dxa"/>
          </w:tcPr>
          <w:p w14:paraId="4963DC0C" w14:textId="77777777" w:rsidR="00BC7493" w:rsidRPr="00E26D09" w:rsidRDefault="00BC7493" w:rsidP="00251CA0">
            <w:pPr>
              <w:pStyle w:val="TAH"/>
              <w:rPr>
                <w:rFonts w:cs="Arial"/>
              </w:rPr>
            </w:pPr>
            <w:r w:rsidRPr="007E346D">
              <w:rPr>
                <w:rFonts w:cs="Arial"/>
              </w:rPr>
              <w:t>Frequency range</w:t>
            </w:r>
          </w:p>
        </w:tc>
        <w:tc>
          <w:tcPr>
            <w:tcW w:w="1276" w:type="dxa"/>
          </w:tcPr>
          <w:p w14:paraId="16FD9439" w14:textId="77777777" w:rsidR="00BC7493" w:rsidRPr="00E26D09" w:rsidRDefault="00BC7493" w:rsidP="00251CA0">
            <w:pPr>
              <w:pStyle w:val="TAH"/>
              <w:rPr>
                <w:rFonts w:cs="Arial"/>
              </w:rPr>
            </w:pPr>
            <w:r w:rsidRPr="007E346D">
              <w:rPr>
                <w:rFonts w:cs="v5.0.0"/>
                <w:i/>
              </w:rPr>
              <w:t>Basic limit</w:t>
            </w:r>
          </w:p>
        </w:tc>
        <w:tc>
          <w:tcPr>
            <w:tcW w:w="1418" w:type="dxa"/>
          </w:tcPr>
          <w:p w14:paraId="192C1CB6" w14:textId="77777777" w:rsidR="00BC7493" w:rsidRPr="00E26D09" w:rsidRDefault="00BC7493" w:rsidP="00251CA0">
            <w:pPr>
              <w:pStyle w:val="TAH"/>
              <w:rPr>
                <w:rFonts w:cs="Arial"/>
              </w:rPr>
            </w:pPr>
            <w:r w:rsidRPr="007A7019">
              <w:rPr>
                <w:rFonts w:cs="Arial"/>
                <w:i/>
              </w:rPr>
              <w:t>Measurement Bandwidth</w:t>
            </w:r>
          </w:p>
        </w:tc>
        <w:tc>
          <w:tcPr>
            <w:tcW w:w="3617" w:type="dxa"/>
          </w:tcPr>
          <w:p w14:paraId="4C5628F7" w14:textId="77777777" w:rsidR="00BC7493" w:rsidRPr="00E26D09" w:rsidRDefault="00BC7493" w:rsidP="00251CA0">
            <w:pPr>
              <w:pStyle w:val="TAH"/>
              <w:rPr>
                <w:rFonts w:cs="Arial"/>
              </w:rPr>
            </w:pPr>
            <w:r w:rsidRPr="007E346D">
              <w:rPr>
                <w:rFonts w:cs="Arial"/>
              </w:rPr>
              <w:t>Note</w:t>
            </w:r>
          </w:p>
        </w:tc>
      </w:tr>
      <w:tr w:rsidR="00BC7493" w:rsidRPr="00E26D09" w14:paraId="6965FB0A" w14:textId="77777777" w:rsidTr="00D905F6">
        <w:trPr>
          <w:cantSplit/>
          <w:trHeight w:val="163"/>
          <w:jc w:val="center"/>
        </w:trPr>
        <w:tc>
          <w:tcPr>
            <w:tcW w:w="2538" w:type="dxa"/>
            <w:tcBorders>
              <w:top w:val="single" w:sz="4" w:space="0" w:color="auto"/>
              <w:bottom w:val="single" w:sz="4" w:space="0" w:color="auto"/>
            </w:tcBorders>
          </w:tcPr>
          <w:p w14:paraId="4601E64C" w14:textId="77777777" w:rsidR="00BC7493" w:rsidRPr="00E26D09" w:rsidRDefault="00BC7493" w:rsidP="00251CA0">
            <w:pPr>
              <w:pStyle w:val="TAC"/>
              <w:rPr>
                <w:rFonts w:cs="Arial"/>
              </w:rPr>
            </w:pPr>
            <w:r>
              <w:rPr>
                <w:rFonts w:cs="Arial"/>
              </w:rPr>
              <w:t>23.6</w:t>
            </w:r>
            <w:r w:rsidRPr="00E26D09">
              <w:rPr>
                <w:rFonts w:cs="Arial"/>
              </w:rPr>
              <w:t xml:space="preserve"> – </w:t>
            </w:r>
            <w:r>
              <w:rPr>
                <w:rFonts w:cs="Arial"/>
              </w:rPr>
              <w:t>24</w:t>
            </w:r>
            <w:r w:rsidRPr="00E26D09">
              <w:rPr>
                <w:rFonts w:cs="Arial"/>
              </w:rPr>
              <w:t xml:space="preserve"> </w:t>
            </w:r>
            <w:r>
              <w:rPr>
                <w:rFonts w:cs="Arial"/>
              </w:rPr>
              <w:t>G</w:t>
            </w:r>
            <w:r w:rsidRPr="00E26D09">
              <w:rPr>
                <w:rFonts w:cs="Arial"/>
              </w:rPr>
              <w:t>Hz</w:t>
            </w:r>
          </w:p>
        </w:tc>
        <w:tc>
          <w:tcPr>
            <w:tcW w:w="1276" w:type="dxa"/>
            <w:tcBorders>
              <w:top w:val="single" w:sz="4" w:space="0" w:color="auto"/>
              <w:bottom w:val="single" w:sz="4" w:space="0" w:color="auto"/>
            </w:tcBorders>
          </w:tcPr>
          <w:p w14:paraId="51ECD0B1" w14:textId="77777777" w:rsidR="00BC7493" w:rsidRPr="00E26D09" w:rsidRDefault="00BC7493" w:rsidP="00251CA0">
            <w:pPr>
              <w:pStyle w:val="TAC"/>
              <w:rPr>
                <w:rFonts w:cs="Arial"/>
              </w:rPr>
            </w:pPr>
            <w:r>
              <w:rPr>
                <w:rFonts w:cs="Arial"/>
              </w:rPr>
              <w:t>-9</w:t>
            </w:r>
            <w:r w:rsidRPr="00E26D09">
              <w:rPr>
                <w:rFonts w:cs="Arial"/>
              </w:rPr>
              <w:t xml:space="preserve"> dBm</w:t>
            </w:r>
          </w:p>
        </w:tc>
        <w:tc>
          <w:tcPr>
            <w:tcW w:w="1418" w:type="dxa"/>
            <w:tcBorders>
              <w:top w:val="single" w:sz="4" w:space="0" w:color="auto"/>
              <w:bottom w:val="single" w:sz="4" w:space="0" w:color="auto"/>
            </w:tcBorders>
          </w:tcPr>
          <w:p w14:paraId="050F0366" w14:textId="77777777" w:rsidR="00BC7493" w:rsidRPr="00E26D09" w:rsidRDefault="00BC7493" w:rsidP="00251CA0">
            <w:pPr>
              <w:pStyle w:val="TAC"/>
              <w:rPr>
                <w:rFonts w:cs="Arial"/>
              </w:rPr>
            </w:pPr>
            <w:r>
              <w:rPr>
                <w:rFonts w:cs="Arial"/>
              </w:rPr>
              <w:t>200 M</w:t>
            </w:r>
            <w:r w:rsidRPr="00E26D09">
              <w:rPr>
                <w:rFonts w:cs="Arial"/>
              </w:rPr>
              <w:t>Hz</w:t>
            </w:r>
          </w:p>
        </w:tc>
        <w:tc>
          <w:tcPr>
            <w:tcW w:w="3617" w:type="dxa"/>
            <w:tcBorders>
              <w:top w:val="single" w:sz="4" w:space="0" w:color="auto"/>
              <w:bottom w:val="single" w:sz="4" w:space="0" w:color="auto"/>
            </w:tcBorders>
          </w:tcPr>
          <w:p w14:paraId="7E4BF760" w14:textId="6CDD7FAF" w:rsidR="00D905F6" w:rsidRDefault="00BC7493" w:rsidP="00D905F6">
            <w:pPr>
              <w:pStyle w:val="TAC"/>
            </w:pPr>
            <w:r w:rsidRPr="00E26D09">
              <w:rPr>
                <w:rFonts w:cs="Arial"/>
              </w:rPr>
              <w:t xml:space="preserve">Applicable </w:t>
            </w:r>
            <w:r>
              <w:rPr>
                <w:rFonts w:cs="Arial"/>
              </w:rPr>
              <w:t xml:space="preserve">to BS operating in </w:t>
            </w:r>
            <w:r w:rsidR="0065428D">
              <w:rPr>
                <w:rFonts w:cs="Arial"/>
              </w:rPr>
              <w:t>b</w:t>
            </w:r>
            <w:r>
              <w:rPr>
                <w:rFonts w:cs="Arial"/>
              </w:rPr>
              <w:t>and n257 within 26.5 – 27.5 GHz</w:t>
            </w:r>
            <w:r w:rsidRPr="001A22C2">
              <w:rPr>
                <w:rFonts w:cs="Arial"/>
              </w:rPr>
              <w:t xml:space="preserve"> </w:t>
            </w:r>
            <w:r>
              <w:rPr>
                <w:rFonts w:cs="Arial"/>
              </w:rPr>
              <w:t xml:space="preserve">and </w:t>
            </w:r>
            <w:r w:rsidR="0065428D">
              <w:rPr>
                <w:rFonts w:cs="Arial"/>
              </w:rPr>
              <w:t>b</w:t>
            </w:r>
            <w:r>
              <w:rPr>
                <w:rFonts w:cs="Arial"/>
              </w:rPr>
              <w:t>and n258</w:t>
            </w:r>
            <w:r w:rsidR="00CE4B12">
              <w:rPr>
                <w:rFonts w:cs="Arial"/>
              </w:rPr>
              <w:t xml:space="preserve"> within 24.25 – 27.5 GHz</w:t>
            </w:r>
            <w:r>
              <w:rPr>
                <w:rFonts w:cs="Arial"/>
              </w:rPr>
              <w:t>. T</w:t>
            </w:r>
            <w:r>
              <w:t xml:space="preserve">he requirement applies even though </w:t>
            </w:r>
            <w:r w:rsidRPr="00E26D09">
              <w:t>part of the range falls in the spurious domain</w:t>
            </w:r>
            <w:r>
              <w:t>.</w:t>
            </w:r>
            <w:r w:rsidR="00D905F6">
              <w:t xml:space="preserve"> </w:t>
            </w:r>
          </w:p>
          <w:p w14:paraId="2C022584" w14:textId="4DD0072E" w:rsidR="00D905F6" w:rsidRPr="008212BC" w:rsidRDefault="00D905F6" w:rsidP="00B021BE">
            <w:pPr>
              <w:pStyle w:val="TAC"/>
              <w:rPr>
                <w:rFonts w:eastAsia="ＭＳ 明朝"/>
              </w:rPr>
            </w:pPr>
            <w:r>
              <w:t>A limit of -3dBm/200MHz may apply to BSs brought into use prior 1</w:t>
            </w:r>
            <w:r w:rsidRPr="00D905F6">
              <w:rPr>
                <w:vertAlign w:val="superscript"/>
              </w:rPr>
              <w:t>st</w:t>
            </w:r>
            <w:r>
              <w:t xml:space="preserve"> Sep</w:t>
            </w:r>
            <w:r w:rsidR="00B021BE">
              <w:t>tember 2027.</w:t>
            </w:r>
          </w:p>
        </w:tc>
      </w:tr>
    </w:tbl>
    <w:p w14:paraId="6A4EB63C" w14:textId="68B21182" w:rsidR="00BC7493" w:rsidRDefault="00BC7493" w:rsidP="009F6DBE">
      <w:pPr>
        <w:jc w:val="both"/>
        <w:rPr>
          <w:lang w:val="en-US" w:eastAsia="ja-JP"/>
        </w:rPr>
      </w:pPr>
    </w:p>
    <w:p w14:paraId="377B7E05" w14:textId="7DE04B8B" w:rsidR="00A33BED" w:rsidRPr="00A33BED" w:rsidRDefault="00A33BED" w:rsidP="00A33BED">
      <w:pPr>
        <w:pStyle w:val="1"/>
      </w:pPr>
      <w:r>
        <w:t>3.</w:t>
      </w:r>
      <w:r>
        <w:tab/>
      </w:r>
      <w:r w:rsidR="001A22C2">
        <w:t>C</w:t>
      </w:r>
      <w:r>
        <w:t>onclusion</w:t>
      </w:r>
    </w:p>
    <w:p w14:paraId="3D08429A" w14:textId="48EF2288" w:rsidR="001A22C2" w:rsidRDefault="00A33BED" w:rsidP="00A33BED">
      <w:pPr>
        <w:jc w:val="both"/>
        <w:rPr>
          <w:lang w:eastAsia="ja-JP"/>
        </w:rPr>
      </w:pPr>
      <w:r>
        <w:rPr>
          <w:lang w:eastAsia="ja-JP"/>
        </w:rPr>
        <w:t xml:space="preserve">In this contribution, </w:t>
      </w:r>
      <w:r w:rsidR="00A46548">
        <w:rPr>
          <w:lang w:eastAsia="ja-JP"/>
        </w:rPr>
        <w:t xml:space="preserve">the approach to incorporate the EESS </w:t>
      </w:r>
      <w:r w:rsidR="00CE4B12">
        <w:rPr>
          <w:lang w:eastAsia="ja-JP"/>
        </w:rPr>
        <w:t xml:space="preserve">(passive) </w:t>
      </w:r>
      <w:r w:rsidR="00A46548">
        <w:rPr>
          <w:lang w:eastAsia="ja-JP"/>
        </w:rPr>
        <w:t xml:space="preserve">protection </w:t>
      </w:r>
      <w:r w:rsidR="001A22C2">
        <w:rPr>
          <w:lang w:eastAsia="ja-JP"/>
        </w:rPr>
        <w:t xml:space="preserve">applicable to </w:t>
      </w:r>
      <w:r w:rsidR="0065428D">
        <w:rPr>
          <w:lang w:eastAsia="ja-JP"/>
        </w:rPr>
        <w:t>b</w:t>
      </w:r>
      <w:r w:rsidR="001A22C2">
        <w:rPr>
          <w:lang w:eastAsia="ja-JP"/>
        </w:rPr>
        <w:t>and n257 and n</w:t>
      </w:r>
      <w:r w:rsidR="00A46548">
        <w:rPr>
          <w:lang w:eastAsia="ja-JP"/>
        </w:rPr>
        <w:t>258. The following proposals are obtained.</w:t>
      </w:r>
    </w:p>
    <w:p w14:paraId="334F6012" w14:textId="77777777" w:rsidR="00EF1190" w:rsidRDefault="00EF1190" w:rsidP="00EF1190">
      <w:pPr>
        <w:jc w:val="both"/>
        <w:rPr>
          <w:b/>
          <w:lang w:val="en-US" w:eastAsia="ja-JP"/>
        </w:rPr>
      </w:pPr>
      <w:r w:rsidRPr="00F33C1F">
        <w:rPr>
          <w:b/>
          <w:lang w:val="en-US" w:eastAsia="ja-JP"/>
        </w:rPr>
        <w:t>Prop</w:t>
      </w:r>
      <w:r w:rsidRPr="008E1A58">
        <w:rPr>
          <w:b/>
          <w:lang w:val="en-US" w:eastAsia="ja-JP"/>
        </w:rPr>
        <w:t>osal 1: Introduce new additional OBUE requirements for the EESS (passive)</w:t>
      </w:r>
      <w:r>
        <w:rPr>
          <w:b/>
          <w:lang w:val="en-US" w:eastAsia="ja-JP"/>
        </w:rPr>
        <w:t xml:space="preserve"> (</w:t>
      </w:r>
      <w:r w:rsidRPr="008E1A58">
        <w:rPr>
          <w:b/>
        </w:rPr>
        <w:t xml:space="preserve">23.6 – 24 </w:t>
      </w:r>
      <w:r w:rsidRPr="008E1A58">
        <w:rPr>
          <w:b/>
          <w:lang w:val="en-US" w:eastAsia="ja-JP"/>
        </w:rPr>
        <w:t>GHz</w:t>
      </w:r>
      <w:r>
        <w:rPr>
          <w:b/>
          <w:lang w:val="en-US" w:eastAsia="ja-JP"/>
        </w:rPr>
        <w:t>)</w:t>
      </w:r>
      <w:r w:rsidRPr="008E1A58">
        <w:rPr>
          <w:b/>
          <w:lang w:val="en-US" w:eastAsia="ja-JP"/>
        </w:rPr>
        <w:t xml:space="preserve"> protection</w:t>
      </w:r>
    </w:p>
    <w:p w14:paraId="3D3DCAA4" w14:textId="77777777" w:rsidR="00EF1190" w:rsidRPr="00820203" w:rsidRDefault="00EF1190" w:rsidP="00EF1190">
      <w:pPr>
        <w:jc w:val="both"/>
        <w:rPr>
          <w:b/>
          <w:lang w:val="en-US" w:eastAsia="ja-JP"/>
        </w:rPr>
      </w:pPr>
      <w:r w:rsidRPr="00820203">
        <w:rPr>
          <w:b/>
          <w:lang w:val="en-US" w:eastAsia="ja-JP"/>
        </w:rPr>
        <w:t xml:space="preserve">Proposal 2: </w:t>
      </w:r>
      <w:r>
        <w:rPr>
          <w:b/>
          <w:lang w:val="en-US" w:eastAsia="ja-JP"/>
        </w:rPr>
        <w:t>The requirement for the EESS (passive) protection applies to any BSs that support a frequency range that partially or completely overlaps with “Active service band” (i.e., 24.25 – 27.5 GHz).</w:t>
      </w:r>
    </w:p>
    <w:p w14:paraId="79E7849A" w14:textId="77777777" w:rsidR="00B021BE" w:rsidRPr="00B021BE" w:rsidRDefault="00B021BE" w:rsidP="00B021BE">
      <w:pPr>
        <w:jc w:val="both"/>
        <w:rPr>
          <w:b/>
          <w:lang w:eastAsia="ja-JP"/>
        </w:rPr>
      </w:pPr>
      <w:r w:rsidRPr="00BC7493">
        <w:rPr>
          <w:b/>
          <w:lang w:eastAsia="ja-JP"/>
        </w:rPr>
        <w:t xml:space="preserve">Proposal 3: </w:t>
      </w:r>
      <w:r w:rsidRPr="00B021BE">
        <w:rPr>
          <w:b/>
          <w:lang w:eastAsia="ja-JP"/>
        </w:rPr>
        <w:t>Define a limit of – 9dBm/200MHz in the frequency range 23.6 -24 GHz for the EESS (passive) protection, and add a note indicating a limit of -3dBm/200MHz may apply to BS brought into use prior 1st September 2027.</w:t>
      </w:r>
    </w:p>
    <w:p w14:paraId="4CCDF8E4" w14:textId="77777777" w:rsidR="00B021BE" w:rsidRPr="004B42EE" w:rsidRDefault="00B021BE" w:rsidP="00B021BE">
      <w:pPr>
        <w:pStyle w:val="TH"/>
      </w:pPr>
      <w:r w:rsidRPr="00E26D09">
        <w:lastRenderedPageBreak/>
        <w:t xml:space="preserve">Table </w:t>
      </w:r>
      <w:r>
        <w:t>1</w:t>
      </w:r>
      <w:r w:rsidRPr="00E26D09">
        <w:t xml:space="preserve">: </w:t>
      </w:r>
      <w:r>
        <w:t xml:space="preserve">Proposed additional operating band unwanted emission </w:t>
      </w:r>
      <w:r w:rsidRPr="00E26D09">
        <w:rPr>
          <w:i/>
        </w:rPr>
        <w:t>basic limits</w:t>
      </w:r>
      <w:r w:rsidRPr="00E26D09">
        <w:t xml:space="preserve"> </w:t>
      </w:r>
      <w: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021BE" w:rsidRPr="00E26D09" w14:paraId="4D2D3647" w14:textId="77777777" w:rsidTr="00955531">
        <w:trPr>
          <w:cantSplit/>
          <w:jc w:val="center"/>
        </w:trPr>
        <w:tc>
          <w:tcPr>
            <w:tcW w:w="2538" w:type="dxa"/>
          </w:tcPr>
          <w:p w14:paraId="14D2201E" w14:textId="77777777" w:rsidR="00B021BE" w:rsidRPr="00E26D09" w:rsidRDefault="00B021BE" w:rsidP="00955531">
            <w:pPr>
              <w:pStyle w:val="TAH"/>
              <w:rPr>
                <w:rFonts w:cs="Arial"/>
              </w:rPr>
            </w:pPr>
            <w:r w:rsidRPr="007E346D">
              <w:rPr>
                <w:rFonts w:cs="Arial"/>
              </w:rPr>
              <w:t>Frequency range</w:t>
            </w:r>
          </w:p>
        </w:tc>
        <w:tc>
          <w:tcPr>
            <w:tcW w:w="1276" w:type="dxa"/>
          </w:tcPr>
          <w:p w14:paraId="5C26D7D8" w14:textId="77777777" w:rsidR="00B021BE" w:rsidRPr="00E26D09" w:rsidRDefault="00B021BE" w:rsidP="00955531">
            <w:pPr>
              <w:pStyle w:val="TAH"/>
              <w:rPr>
                <w:rFonts w:cs="Arial"/>
              </w:rPr>
            </w:pPr>
            <w:r w:rsidRPr="007E346D">
              <w:rPr>
                <w:rFonts w:cs="v5.0.0"/>
                <w:i/>
              </w:rPr>
              <w:t>Basic limit</w:t>
            </w:r>
          </w:p>
        </w:tc>
        <w:tc>
          <w:tcPr>
            <w:tcW w:w="1418" w:type="dxa"/>
          </w:tcPr>
          <w:p w14:paraId="5933551B" w14:textId="77777777" w:rsidR="00B021BE" w:rsidRPr="00E26D09" w:rsidRDefault="00B021BE" w:rsidP="00955531">
            <w:pPr>
              <w:pStyle w:val="TAH"/>
              <w:rPr>
                <w:rFonts w:cs="Arial"/>
              </w:rPr>
            </w:pPr>
            <w:r w:rsidRPr="007A7019">
              <w:rPr>
                <w:rFonts w:cs="Arial"/>
                <w:i/>
              </w:rPr>
              <w:t>Measurement Bandwidth</w:t>
            </w:r>
          </w:p>
        </w:tc>
        <w:tc>
          <w:tcPr>
            <w:tcW w:w="3617" w:type="dxa"/>
          </w:tcPr>
          <w:p w14:paraId="2154CC45" w14:textId="77777777" w:rsidR="00B021BE" w:rsidRPr="00E26D09" w:rsidRDefault="00B021BE" w:rsidP="00955531">
            <w:pPr>
              <w:pStyle w:val="TAH"/>
              <w:rPr>
                <w:rFonts w:cs="Arial"/>
              </w:rPr>
            </w:pPr>
            <w:r w:rsidRPr="007E346D">
              <w:rPr>
                <w:rFonts w:cs="Arial"/>
              </w:rPr>
              <w:t>Note</w:t>
            </w:r>
          </w:p>
        </w:tc>
      </w:tr>
      <w:tr w:rsidR="00B021BE" w:rsidRPr="00E26D09" w14:paraId="25C95C42" w14:textId="77777777" w:rsidTr="00955531">
        <w:trPr>
          <w:cantSplit/>
          <w:trHeight w:val="163"/>
          <w:jc w:val="center"/>
        </w:trPr>
        <w:tc>
          <w:tcPr>
            <w:tcW w:w="2538" w:type="dxa"/>
            <w:tcBorders>
              <w:top w:val="single" w:sz="4" w:space="0" w:color="auto"/>
              <w:bottom w:val="single" w:sz="4" w:space="0" w:color="auto"/>
            </w:tcBorders>
          </w:tcPr>
          <w:p w14:paraId="5A881902" w14:textId="77777777" w:rsidR="00B021BE" w:rsidRPr="00E26D09" w:rsidRDefault="00B021BE" w:rsidP="00955531">
            <w:pPr>
              <w:pStyle w:val="TAC"/>
              <w:rPr>
                <w:rFonts w:cs="Arial"/>
              </w:rPr>
            </w:pPr>
            <w:r>
              <w:rPr>
                <w:rFonts w:cs="Arial"/>
              </w:rPr>
              <w:t>23.6</w:t>
            </w:r>
            <w:r w:rsidRPr="00E26D09">
              <w:rPr>
                <w:rFonts w:cs="Arial"/>
              </w:rPr>
              <w:t xml:space="preserve"> – </w:t>
            </w:r>
            <w:r>
              <w:rPr>
                <w:rFonts w:cs="Arial"/>
              </w:rPr>
              <w:t>24</w:t>
            </w:r>
            <w:r w:rsidRPr="00E26D09">
              <w:rPr>
                <w:rFonts w:cs="Arial"/>
              </w:rPr>
              <w:t xml:space="preserve"> </w:t>
            </w:r>
            <w:r>
              <w:rPr>
                <w:rFonts w:cs="Arial"/>
              </w:rPr>
              <w:t>G</w:t>
            </w:r>
            <w:r w:rsidRPr="00E26D09">
              <w:rPr>
                <w:rFonts w:cs="Arial"/>
              </w:rPr>
              <w:t>Hz</w:t>
            </w:r>
          </w:p>
        </w:tc>
        <w:tc>
          <w:tcPr>
            <w:tcW w:w="1276" w:type="dxa"/>
            <w:tcBorders>
              <w:top w:val="single" w:sz="4" w:space="0" w:color="auto"/>
              <w:bottom w:val="single" w:sz="4" w:space="0" w:color="auto"/>
            </w:tcBorders>
          </w:tcPr>
          <w:p w14:paraId="32344C0D" w14:textId="77777777" w:rsidR="00B021BE" w:rsidRPr="00E26D09" w:rsidRDefault="00B021BE" w:rsidP="00955531">
            <w:pPr>
              <w:pStyle w:val="TAC"/>
              <w:rPr>
                <w:rFonts w:cs="Arial"/>
              </w:rPr>
            </w:pPr>
            <w:r>
              <w:rPr>
                <w:rFonts w:cs="Arial"/>
              </w:rPr>
              <w:t>-9</w:t>
            </w:r>
            <w:r w:rsidRPr="00E26D09">
              <w:rPr>
                <w:rFonts w:cs="Arial"/>
              </w:rPr>
              <w:t xml:space="preserve"> dBm</w:t>
            </w:r>
          </w:p>
        </w:tc>
        <w:tc>
          <w:tcPr>
            <w:tcW w:w="1418" w:type="dxa"/>
            <w:tcBorders>
              <w:top w:val="single" w:sz="4" w:space="0" w:color="auto"/>
              <w:bottom w:val="single" w:sz="4" w:space="0" w:color="auto"/>
            </w:tcBorders>
          </w:tcPr>
          <w:p w14:paraId="1B565EE6" w14:textId="77777777" w:rsidR="00B021BE" w:rsidRPr="00E26D09" w:rsidRDefault="00B021BE" w:rsidP="00955531">
            <w:pPr>
              <w:pStyle w:val="TAC"/>
              <w:rPr>
                <w:rFonts w:cs="Arial"/>
              </w:rPr>
            </w:pPr>
            <w:r>
              <w:rPr>
                <w:rFonts w:cs="Arial"/>
              </w:rPr>
              <w:t>200 M</w:t>
            </w:r>
            <w:r w:rsidRPr="00E26D09">
              <w:rPr>
                <w:rFonts w:cs="Arial"/>
              </w:rPr>
              <w:t>Hz</w:t>
            </w:r>
          </w:p>
        </w:tc>
        <w:tc>
          <w:tcPr>
            <w:tcW w:w="3617" w:type="dxa"/>
            <w:tcBorders>
              <w:top w:val="single" w:sz="4" w:space="0" w:color="auto"/>
              <w:bottom w:val="single" w:sz="4" w:space="0" w:color="auto"/>
            </w:tcBorders>
          </w:tcPr>
          <w:p w14:paraId="430788DD" w14:textId="77777777" w:rsidR="00B021BE" w:rsidRDefault="00B021BE" w:rsidP="00B021BE">
            <w:pPr>
              <w:pStyle w:val="TAC"/>
            </w:pPr>
            <w:r w:rsidRPr="00E26D09">
              <w:rPr>
                <w:rFonts w:cs="Arial"/>
              </w:rPr>
              <w:t xml:space="preserve">Applicable </w:t>
            </w:r>
            <w:r>
              <w:rPr>
                <w:rFonts w:cs="Arial"/>
              </w:rPr>
              <w:t>to BS operating in band n257 within 26.5 – 27.5 GHz</w:t>
            </w:r>
            <w:r w:rsidRPr="001A22C2">
              <w:rPr>
                <w:rFonts w:cs="Arial"/>
              </w:rPr>
              <w:t xml:space="preserve"> </w:t>
            </w:r>
            <w:r>
              <w:rPr>
                <w:rFonts w:cs="Arial"/>
              </w:rPr>
              <w:t>and band n258 within 24.25 – 27.5 GHz. T</w:t>
            </w:r>
            <w:r>
              <w:t xml:space="preserve">he requirement applies even though </w:t>
            </w:r>
            <w:r w:rsidRPr="00E26D09">
              <w:t>part of the range falls in the spurious domain</w:t>
            </w:r>
            <w:r>
              <w:t xml:space="preserve">. </w:t>
            </w:r>
          </w:p>
          <w:p w14:paraId="59D39A0A" w14:textId="5489BC3E" w:rsidR="00B021BE" w:rsidRPr="00B021BE" w:rsidRDefault="00B021BE" w:rsidP="00B021BE">
            <w:pPr>
              <w:pStyle w:val="TAC"/>
            </w:pPr>
            <w:r>
              <w:t>A limit of -3dBm/200MHz may apply to BSs brought into use prior 1</w:t>
            </w:r>
            <w:r w:rsidRPr="00D905F6">
              <w:rPr>
                <w:vertAlign w:val="superscript"/>
              </w:rPr>
              <w:t>st</w:t>
            </w:r>
            <w:r>
              <w:t xml:space="preserve"> September 2027.</w:t>
            </w:r>
          </w:p>
        </w:tc>
      </w:tr>
    </w:tbl>
    <w:p w14:paraId="38E515A9" w14:textId="77777777" w:rsidR="00B021BE" w:rsidRDefault="00B021BE" w:rsidP="00B021BE">
      <w:pPr>
        <w:jc w:val="both"/>
        <w:rPr>
          <w:lang w:val="en-US" w:eastAsia="ja-JP"/>
        </w:rPr>
      </w:pPr>
    </w:p>
    <w:p w14:paraId="29BC7433" w14:textId="77777777" w:rsidR="00A33BED" w:rsidRPr="00BF7F29" w:rsidRDefault="00A33BED" w:rsidP="00A33BED">
      <w:pPr>
        <w:pStyle w:val="1"/>
        <w:ind w:left="432" w:hanging="432"/>
        <w:rPr>
          <w:lang w:eastAsia="ja-JP"/>
        </w:rPr>
      </w:pPr>
      <w:r>
        <w:rPr>
          <w:rFonts w:hint="eastAsia"/>
          <w:lang w:eastAsia="ja-JP"/>
        </w:rPr>
        <w:t>References</w:t>
      </w:r>
    </w:p>
    <w:p w14:paraId="5B489B83" w14:textId="3EAF972B" w:rsidR="008D3E07" w:rsidRPr="008D3E07" w:rsidRDefault="008D3E07" w:rsidP="008D3E07">
      <w:pPr>
        <w:numPr>
          <w:ilvl w:val="0"/>
          <w:numId w:val="1"/>
        </w:numPr>
        <w:rPr>
          <w:lang w:val="en-US" w:eastAsia="ja-JP"/>
        </w:rPr>
      </w:pPr>
      <w:r w:rsidRPr="008D3E07">
        <w:rPr>
          <w:lang w:val="en-US" w:eastAsia="ja-JP"/>
        </w:rPr>
        <w:t>World Radiocommunication</w:t>
      </w:r>
      <w:r>
        <w:rPr>
          <w:rFonts w:hint="eastAsia"/>
          <w:lang w:val="en-US" w:eastAsia="ja-JP"/>
        </w:rPr>
        <w:t xml:space="preserve"> </w:t>
      </w:r>
      <w:r w:rsidRPr="008D3E07">
        <w:rPr>
          <w:lang w:val="en-US" w:eastAsia="ja-JP"/>
        </w:rPr>
        <w:t>Conference 2019</w:t>
      </w:r>
      <w:r>
        <w:rPr>
          <w:rFonts w:hint="eastAsia"/>
          <w:lang w:val="en-US" w:eastAsia="ja-JP"/>
        </w:rPr>
        <w:t xml:space="preserve"> </w:t>
      </w:r>
      <w:r w:rsidRPr="008D3E07">
        <w:rPr>
          <w:lang w:val="en-US" w:eastAsia="ja-JP"/>
        </w:rPr>
        <w:t>(WRC-19)</w:t>
      </w:r>
      <w:r>
        <w:rPr>
          <w:rFonts w:hint="eastAsia"/>
          <w:lang w:val="en-US" w:eastAsia="ja-JP"/>
        </w:rPr>
        <w:t xml:space="preserve"> </w:t>
      </w:r>
      <w:r w:rsidRPr="008D3E07">
        <w:rPr>
          <w:lang w:val="en-US" w:eastAsia="ja-JP"/>
        </w:rPr>
        <w:t>Provisional Final Acts</w:t>
      </w:r>
      <w:r w:rsidR="005A7F97">
        <w:rPr>
          <w:lang w:val="en-US" w:eastAsia="ja-JP"/>
        </w:rPr>
        <w:t xml:space="preserve"> (</w:t>
      </w:r>
      <w:hyperlink r:id="rId11" w:history="1">
        <w:r w:rsidRPr="005320D4">
          <w:rPr>
            <w:rStyle w:val="ae"/>
            <w:lang w:val="en-US" w:eastAsia="ja-JP"/>
          </w:rPr>
          <w:t>https://www.itu.int/en/ITU-R/conferences/wrc/2019/Documents/PFA-WRC19-E.pdf</w:t>
        </w:r>
      </w:hyperlink>
      <w:r w:rsidR="005A7F97">
        <w:rPr>
          <w:rStyle w:val="ae"/>
          <w:lang w:val="en-US" w:eastAsia="ja-JP"/>
        </w:rPr>
        <w:t>)</w:t>
      </w:r>
    </w:p>
    <w:sectPr w:rsidR="008D3E07" w:rsidRPr="008D3E0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E31F" w14:textId="77777777" w:rsidR="00D06447" w:rsidRDefault="00D06447">
      <w:r>
        <w:separator/>
      </w:r>
    </w:p>
  </w:endnote>
  <w:endnote w:type="continuationSeparator" w:id="0">
    <w:p w14:paraId="7C1EC556" w14:textId="77777777" w:rsidR="00D06447" w:rsidRDefault="00D0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711DA" w14:textId="77777777" w:rsidR="00D06447" w:rsidRDefault="00D06447">
      <w:r>
        <w:separator/>
      </w:r>
    </w:p>
  </w:footnote>
  <w:footnote w:type="continuationSeparator" w:id="0">
    <w:p w14:paraId="23F5E8B7" w14:textId="77777777" w:rsidR="00D06447" w:rsidRDefault="00D06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3pt;height:23.25pt" o:bullet="t">
        <v:imagedata r:id="rId1" o:title="art1A8B"/>
      </v:shape>
    </w:pict>
  </w:numPicBullet>
  <w:abstractNum w:abstractNumId="0" w15:restartNumberingAfterBreak="0">
    <w:nsid w:val="FFFFFF1D"/>
    <w:multiLevelType w:val="multilevel"/>
    <w:tmpl w:val="2EA62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6BC26E5"/>
    <w:multiLevelType w:val="hybridMultilevel"/>
    <w:tmpl w:val="C39CDA14"/>
    <w:lvl w:ilvl="0" w:tplc="FB52FC42">
      <w:start w:val="2"/>
      <w:numFmt w:val="bullet"/>
      <w:lvlText w:val="-"/>
      <w:lvlJc w:val="left"/>
      <w:pPr>
        <w:ind w:left="700" w:hanging="420"/>
      </w:pPr>
      <w:rPr>
        <w:rFonts w:ascii="Times New Roman" w:eastAsia="游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B755F1E"/>
    <w:multiLevelType w:val="hybridMultilevel"/>
    <w:tmpl w:val="B7A6089C"/>
    <w:lvl w:ilvl="0" w:tplc="380C88AA">
      <w:start w:val="26"/>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8"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0"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1" w15:restartNumberingAfterBreak="0">
    <w:nsid w:val="4C4536C4"/>
    <w:multiLevelType w:val="hybridMultilevel"/>
    <w:tmpl w:val="6212E5A4"/>
    <w:lvl w:ilvl="0" w:tplc="32427CA4">
      <w:start w:val="1"/>
      <w:numFmt w:val="bullet"/>
      <w:lvlText w:val="•"/>
      <w:lvlJc w:val="left"/>
      <w:pPr>
        <w:ind w:left="480" w:hanging="480"/>
      </w:pPr>
      <w:rPr>
        <w:rFonts w:ascii="Arial" w:hAnsi="Arial"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C0D3D"/>
    <w:multiLevelType w:val="hybridMultilevel"/>
    <w:tmpl w:val="FD6809CA"/>
    <w:lvl w:ilvl="0" w:tplc="18A6EBC8">
      <w:numFmt w:val="bullet"/>
      <w:lvlText w:val="-"/>
      <w:lvlJc w:val="left"/>
      <w:pPr>
        <w:ind w:left="764" w:hanging="480"/>
      </w:pPr>
      <w:rPr>
        <w:rFonts w:ascii="Times New Roman" w:eastAsia="Times New Roman" w:hAnsi="Times New Roman" w:cs="Times New Roman" w:hint="default"/>
      </w:rPr>
    </w:lvl>
    <w:lvl w:ilvl="1" w:tplc="0409000B" w:tentative="1">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4" w15:restartNumberingAfterBreak="0">
    <w:nsid w:val="4F6C1F9D"/>
    <w:multiLevelType w:val="multilevel"/>
    <w:tmpl w:val="22545C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345654"/>
    <w:multiLevelType w:val="hybridMultilevel"/>
    <w:tmpl w:val="39B6759A"/>
    <w:lvl w:ilvl="0" w:tplc="2F1C8C86">
      <w:start w:val="1"/>
      <w:numFmt w:val="lowerLetter"/>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63562B47"/>
    <w:multiLevelType w:val="multilevel"/>
    <w:tmpl w:val="E9A86016"/>
    <w:lvl w:ilvl="0">
      <w:start w:val="1"/>
      <w:numFmt w:val="decimal"/>
      <w:lvlText w:val="%1."/>
      <w:lvlJc w:val="left"/>
      <w:pPr>
        <w:ind w:left="360" w:hanging="360"/>
      </w:pPr>
      <w:rPr>
        <w:rFonts w:hint="default"/>
      </w:rPr>
    </w:lvl>
    <w:lvl w:ilvl="1">
      <w:start w:val="28"/>
      <w:numFmt w:val="decimal"/>
      <w:isLgl/>
      <w:lvlText w:val="%1.%2"/>
      <w:lvlJc w:val="left"/>
      <w:pPr>
        <w:ind w:left="689"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8"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E47EA7"/>
    <w:multiLevelType w:val="hybridMultilevel"/>
    <w:tmpl w:val="499688C6"/>
    <w:lvl w:ilvl="0" w:tplc="18A6EBC8">
      <w:numFmt w:val="bullet"/>
      <w:lvlText w:val="-"/>
      <w:lvlJc w:val="left"/>
      <w:pPr>
        <w:ind w:left="1897" w:hanging="480"/>
      </w:pPr>
      <w:rPr>
        <w:rFonts w:ascii="Times New Roman" w:eastAsia="Times New Roman" w:hAnsi="Times New Roman" w:cs="Times New Roman" w:hint="default"/>
      </w:rPr>
    </w:lvl>
    <w:lvl w:ilvl="1" w:tplc="0409000B">
      <w:start w:val="1"/>
      <w:numFmt w:val="bullet"/>
      <w:lvlText w:val=""/>
      <w:lvlJc w:val="left"/>
      <w:pPr>
        <w:ind w:left="2377" w:hanging="480"/>
      </w:pPr>
      <w:rPr>
        <w:rFonts w:ascii="Wingdings" w:hAnsi="Wingdings" w:hint="default"/>
      </w:rPr>
    </w:lvl>
    <w:lvl w:ilvl="2" w:tplc="0409000D"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B" w:tentative="1">
      <w:start w:val="1"/>
      <w:numFmt w:val="bullet"/>
      <w:lvlText w:val=""/>
      <w:lvlJc w:val="left"/>
      <w:pPr>
        <w:ind w:left="3817" w:hanging="480"/>
      </w:pPr>
      <w:rPr>
        <w:rFonts w:ascii="Wingdings" w:hAnsi="Wingdings" w:hint="default"/>
      </w:rPr>
    </w:lvl>
    <w:lvl w:ilvl="5" w:tplc="0409000D"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B" w:tentative="1">
      <w:start w:val="1"/>
      <w:numFmt w:val="bullet"/>
      <w:lvlText w:val=""/>
      <w:lvlJc w:val="left"/>
      <w:pPr>
        <w:ind w:left="5257" w:hanging="480"/>
      </w:pPr>
      <w:rPr>
        <w:rFonts w:ascii="Wingdings" w:hAnsi="Wingdings" w:hint="default"/>
      </w:rPr>
    </w:lvl>
    <w:lvl w:ilvl="8" w:tplc="0409000D" w:tentative="1">
      <w:start w:val="1"/>
      <w:numFmt w:val="bullet"/>
      <w:lvlText w:val=""/>
      <w:lvlJc w:val="left"/>
      <w:pPr>
        <w:ind w:left="5737" w:hanging="480"/>
      </w:pPr>
      <w:rPr>
        <w:rFonts w:ascii="Wingdings" w:hAnsi="Wingdings" w:hint="default"/>
      </w:rPr>
    </w:lvl>
  </w:abstractNum>
  <w:abstractNum w:abstractNumId="21"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0A5665"/>
    <w:multiLevelType w:val="hybridMultilevel"/>
    <w:tmpl w:val="68A2A16C"/>
    <w:lvl w:ilvl="0" w:tplc="D20482EC">
      <w:start w:val="2018"/>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703D2A6C"/>
    <w:multiLevelType w:val="hybridMultilevel"/>
    <w:tmpl w:val="5D46BA4E"/>
    <w:lvl w:ilvl="0" w:tplc="FB52FC42">
      <w:start w:val="2"/>
      <w:numFmt w:val="bullet"/>
      <w:lvlText w:val="-"/>
      <w:lvlJc w:val="left"/>
      <w:pPr>
        <w:ind w:left="700" w:hanging="420"/>
      </w:pPr>
      <w:rPr>
        <w:rFonts w:ascii="Times New Roman" w:eastAsia="游明朝" w:hAnsi="Times New Roman" w:cs="Times New Roman"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21"/>
  </w:num>
  <w:num w:numId="4">
    <w:abstractNumId w:val="24"/>
  </w:num>
  <w:num w:numId="5">
    <w:abstractNumId w:val="7"/>
  </w:num>
  <w:num w:numId="6">
    <w:abstractNumId w:val="16"/>
  </w:num>
  <w:num w:numId="7">
    <w:abstractNumId w:val="10"/>
  </w:num>
  <w:num w:numId="8">
    <w:abstractNumId w:val="9"/>
  </w:num>
  <w:num w:numId="9">
    <w:abstractNumId w:val="1"/>
  </w:num>
  <w:num w:numId="10">
    <w:abstractNumId w:val="19"/>
  </w:num>
  <w:num w:numId="11">
    <w:abstractNumId w:val="3"/>
  </w:num>
  <w:num w:numId="12">
    <w:abstractNumId w:val="18"/>
  </w:num>
  <w:num w:numId="13">
    <w:abstractNumId w:val="8"/>
  </w:num>
  <w:num w:numId="14">
    <w:abstractNumId w:val="15"/>
  </w:num>
  <w:num w:numId="15">
    <w:abstractNumId w:val="2"/>
  </w:num>
  <w:num w:numId="16">
    <w:abstractNumId w:val="0"/>
  </w:num>
  <w:num w:numId="17">
    <w:abstractNumId w:val="11"/>
  </w:num>
  <w:num w:numId="18">
    <w:abstractNumId w:val="13"/>
  </w:num>
  <w:num w:numId="19">
    <w:abstractNumId w:val="20"/>
  </w:num>
  <w:num w:numId="20">
    <w:abstractNumId w:val="12"/>
  </w:num>
  <w:num w:numId="21">
    <w:abstractNumId w:val="6"/>
  </w:num>
  <w:num w:numId="22">
    <w:abstractNumId w:val="22"/>
  </w:num>
  <w:num w:numId="23">
    <w:abstractNumId w:val="14"/>
  </w:num>
  <w:num w:numId="24">
    <w:abstractNumId w:val="23"/>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5965"/>
    <w:rsid w:val="00007948"/>
    <w:rsid w:val="000128F2"/>
    <w:rsid w:val="00017799"/>
    <w:rsid w:val="00017BDA"/>
    <w:rsid w:val="0002036D"/>
    <w:rsid w:val="00020852"/>
    <w:rsid w:val="00020CB7"/>
    <w:rsid w:val="0002191D"/>
    <w:rsid w:val="00021E68"/>
    <w:rsid w:val="000233B8"/>
    <w:rsid w:val="00023D10"/>
    <w:rsid w:val="000266A0"/>
    <w:rsid w:val="00030E6C"/>
    <w:rsid w:val="0003154D"/>
    <w:rsid w:val="00031C1D"/>
    <w:rsid w:val="0003640C"/>
    <w:rsid w:val="000419BA"/>
    <w:rsid w:val="00042E92"/>
    <w:rsid w:val="0004483F"/>
    <w:rsid w:val="00045666"/>
    <w:rsid w:val="000456D7"/>
    <w:rsid w:val="00045CBD"/>
    <w:rsid w:val="00047427"/>
    <w:rsid w:val="00047943"/>
    <w:rsid w:val="00051A81"/>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021E"/>
    <w:rsid w:val="000911E4"/>
    <w:rsid w:val="00092839"/>
    <w:rsid w:val="00093E7E"/>
    <w:rsid w:val="00095795"/>
    <w:rsid w:val="00097D22"/>
    <w:rsid w:val="000A2C7E"/>
    <w:rsid w:val="000A45AC"/>
    <w:rsid w:val="000A6235"/>
    <w:rsid w:val="000A64DA"/>
    <w:rsid w:val="000A65BC"/>
    <w:rsid w:val="000A7F9C"/>
    <w:rsid w:val="000B0E43"/>
    <w:rsid w:val="000B0E72"/>
    <w:rsid w:val="000B2643"/>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0F70EE"/>
    <w:rsid w:val="0010127A"/>
    <w:rsid w:val="00101D84"/>
    <w:rsid w:val="00102AFA"/>
    <w:rsid w:val="001031FD"/>
    <w:rsid w:val="00106A9F"/>
    <w:rsid w:val="001072A8"/>
    <w:rsid w:val="0011424E"/>
    <w:rsid w:val="00114547"/>
    <w:rsid w:val="00117291"/>
    <w:rsid w:val="0012048E"/>
    <w:rsid w:val="00120E83"/>
    <w:rsid w:val="00121E9D"/>
    <w:rsid w:val="00123571"/>
    <w:rsid w:val="00123B5C"/>
    <w:rsid w:val="00124082"/>
    <w:rsid w:val="001301B1"/>
    <w:rsid w:val="00130E89"/>
    <w:rsid w:val="00132D36"/>
    <w:rsid w:val="00134E00"/>
    <w:rsid w:val="00137692"/>
    <w:rsid w:val="00141A2F"/>
    <w:rsid w:val="00142771"/>
    <w:rsid w:val="00142831"/>
    <w:rsid w:val="00142F43"/>
    <w:rsid w:val="00143316"/>
    <w:rsid w:val="00145505"/>
    <w:rsid w:val="00146317"/>
    <w:rsid w:val="00152C33"/>
    <w:rsid w:val="00152CF6"/>
    <w:rsid w:val="00153528"/>
    <w:rsid w:val="00160A47"/>
    <w:rsid w:val="00160B00"/>
    <w:rsid w:val="00162698"/>
    <w:rsid w:val="00162F78"/>
    <w:rsid w:val="001643AC"/>
    <w:rsid w:val="00164C6B"/>
    <w:rsid w:val="001653AE"/>
    <w:rsid w:val="0017086B"/>
    <w:rsid w:val="00171980"/>
    <w:rsid w:val="00171D07"/>
    <w:rsid w:val="00173FCB"/>
    <w:rsid w:val="0017516C"/>
    <w:rsid w:val="00175AB9"/>
    <w:rsid w:val="00181060"/>
    <w:rsid w:val="00181490"/>
    <w:rsid w:val="00182304"/>
    <w:rsid w:val="0018375D"/>
    <w:rsid w:val="0018379B"/>
    <w:rsid w:val="0018585B"/>
    <w:rsid w:val="00185CCD"/>
    <w:rsid w:val="00192CE3"/>
    <w:rsid w:val="00193116"/>
    <w:rsid w:val="001A08AA"/>
    <w:rsid w:val="001A0FC8"/>
    <w:rsid w:val="001A1056"/>
    <w:rsid w:val="001A1DAC"/>
    <w:rsid w:val="001A22C2"/>
    <w:rsid w:val="001A3120"/>
    <w:rsid w:val="001B0237"/>
    <w:rsid w:val="001B1C3C"/>
    <w:rsid w:val="001B32BC"/>
    <w:rsid w:val="001B357D"/>
    <w:rsid w:val="001B7510"/>
    <w:rsid w:val="001C1ADF"/>
    <w:rsid w:val="001C3A35"/>
    <w:rsid w:val="001C602C"/>
    <w:rsid w:val="001C67F1"/>
    <w:rsid w:val="001C7645"/>
    <w:rsid w:val="001C77FB"/>
    <w:rsid w:val="001C7CD3"/>
    <w:rsid w:val="001D17FE"/>
    <w:rsid w:val="001D5FAC"/>
    <w:rsid w:val="001D61DA"/>
    <w:rsid w:val="001D6D1A"/>
    <w:rsid w:val="001D7B96"/>
    <w:rsid w:val="001E0240"/>
    <w:rsid w:val="001E1D3D"/>
    <w:rsid w:val="001E290B"/>
    <w:rsid w:val="001E7AB9"/>
    <w:rsid w:val="001F2D35"/>
    <w:rsid w:val="001F2F6B"/>
    <w:rsid w:val="001F3003"/>
    <w:rsid w:val="001F4D0D"/>
    <w:rsid w:val="001F51BB"/>
    <w:rsid w:val="001F609D"/>
    <w:rsid w:val="001F64A0"/>
    <w:rsid w:val="002029A6"/>
    <w:rsid w:val="0020352D"/>
    <w:rsid w:val="0020374C"/>
    <w:rsid w:val="002041AB"/>
    <w:rsid w:val="002045C1"/>
    <w:rsid w:val="00205968"/>
    <w:rsid w:val="00207DB7"/>
    <w:rsid w:val="002106C8"/>
    <w:rsid w:val="00210D19"/>
    <w:rsid w:val="00212373"/>
    <w:rsid w:val="002138EA"/>
    <w:rsid w:val="00214FBD"/>
    <w:rsid w:val="002207DE"/>
    <w:rsid w:val="00220B6F"/>
    <w:rsid w:val="00222897"/>
    <w:rsid w:val="00222AD3"/>
    <w:rsid w:val="00225925"/>
    <w:rsid w:val="00230C68"/>
    <w:rsid w:val="00231775"/>
    <w:rsid w:val="00231866"/>
    <w:rsid w:val="00232268"/>
    <w:rsid w:val="00232B45"/>
    <w:rsid w:val="00234306"/>
    <w:rsid w:val="0023446F"/>
    <w:rsid w:val="00235127"/>
    <w:rsid w:val="00235394"/>
    <w:rsid w:val="00235A17"/>
    <w:rsid w:val="00235B16"/>
    <w:rsid w:val="002363F5"/>
    <w:rsid w:val="00241E76"/>
    <w:rsid w:val="00242DD8"/>
    <w:rsid w:val="002447F0"/>
    <w:rsid w:val="00245711"/>
    <w:rsid w:val="00245B6B"/>
    <w:rsid w:val="00247295"/>
    <w:rsid w:val="0025035E"/>
    <w:rsid w:val="0025345F"/>
    <w:rsid w:val="002540B0"/>
    <w:rsid w:val="00254DE6"/>
    <w:rsid w:val="0025529D"/>
    <w:rsid w:val="00257479"/>
    <w:rsid w:val="00257632"/>
    <w:rsid w:val="00260476"/>
    <w:rsid w:val="00260D4B"/>
    <w:rsid w:val="0026179F"/>
    <w:rsid w:val="00261EF2"/>
    <w:rsid w:val="00262278"/>
    <w:rsid w:val="00265053"/>
    <w:rsid w:val="00265360"/>
    <w:rsid w:val="002715D3"/>
    <w:rsid w:val="002716E7"/>
    <w:rsid w:val="00272BC8"/>
    <w:rsid w:val="002730D1"/>
    <w:rsid w:val="00274E1A"/>
    <w:rsid w:val="0027582B"/>
    <w:rsid w:val="00275B3C"/>
    <w:rsid w:val="0027745D"/>
    <w:rsid w:val="00280799"/>
    <w:rsid w:val="00282213"/>
    <w:rsid w:val="00283084"/>
    <w:rsid w:val="0028309A"/>
    <w:rsid w:val="00284A97"/>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A7390"/>
    <w:rsid w:val="002B091A"/>
    <w:rsid w:val="002B10A5"/>
    <w:rsid w:val="002B3853"/>
    <w:rsid w:val="002B4609"/>
    <w:rsid w:val="002B56AF"/>
    <w:rsid w:val="002B6E44"/>
    <w:rsid w:val="002C1FC4"/>
    <w:rsid w:val="002C4696"/>
    <w:rsid w:val="002D05DD"/>
    <w:rsid w:val="002D3897"/>
    <w:rsid w:val="002D44CF"/>
    <w:rsid w:val="002D4648"/>
    <w:rsid w:val="002E08A7"/>
    <w:rsid w:val="002E12A7"/>
    <w:rsid w:val="002E775B"/>
    <w:rsid w:val="002E7A1B"/>
    <w:rsid w:val="002F1AAE"/>
    <w:rsid w:val="002F2CFB"/>
    <w:rsid w:val="002F4093"/>
    <w:rsid w:val="002F53BE"/>
    <w:rsid w:val="002F6C9B"/>
    <w:rsid w:val="002F6EF4"/>
    <w:rsid w:val="002F796C"/>
    <w:rsid w:val="00300C95"/>
    <w:rsid w:val="003040AA"/>
    <w:rsid w:val="00304E3F"/>
    <w:rsid w:val="0030631E"/>
    <w:rsid w:val="00306331"/>
    <w:rsid w:val="003071AC"/>
    <w:rsid w:val="00312538"/>
    <w:rsid w:val="00312E62"/>
    <w:rsid w:val="003140D7"/>
    <w:rsid w:val="0031464C"/>
    <w:rsid w:val="00314AF6"/>
    <w:rsid w:val="00320493"/>
    <w:rsid w:val="003253ED"/>
    <w:rsid w:val="00331476"/>
    <w:rsid w:val="00341E05"/>
    <w:rsid w:val="00341EE1"/>
    <w:rsid w:val="003449E6"/>
    <w:rsid w:val="003466ED"/>
    <w:rsid w:val="00346928"/>
    <w:rsid w:val="003532A2"/>
    <w:rsid w:val="00353C40"/>
    <w:rsid w:val="003543FA"/>
    <w:rsid w:val="00356B37"/>
    <w:rsid w:val="00361187"/>
    <w:rsid w:val="00361491"/>
    <w:rsid w:val="003626D4"/>
    <w:rsid w:val="003667FF"/>
    <w:rsid w:val="00367724"/>
    <w:rsid w:val="00372085"/>
    <w:rsid w:val="00372B4D"/>
    <w:rsid w:val="00374EB9"/>
    <w:rsid w:val="0037533A"/>
    <w:rsid w:val="00376440"/>
    <w:rsid w:val="003772F3"/>
    <w:rsid w:val="00381C9C"/>
    <w:rsid w:val="003823D1"/>
    <w:rsid w:val="003919B6"/>
    <w:rsid w:val="00394970"/>
    <w:rsid w:val="00395673"/>
    <w:rsid w:val="00396A8B"/>
    <w:rsid w:val="003970D1"/>
    <w:rsid w:val="003A0B5D"/>
    <w:rsid w:val="003A1829"/>
    <w:rsid w:val="003A377C"/>
    <w:rsid w:val="003A4CB3"/>
    <w:rsid w:val="003A4FA6"/>
    <w:rsid w:val="003A665A"/>
    <w:rsid w:val="003B0CD7"/>
    <w:rsid w:val="003B3F20"/>
    <w:rsid w:val="003B656B"/>
    <w:rsid w:val="003B6B5A"/>
    <w:rsid w:val="003B6D17"/>
    <w:rsid w:val="003B7DAB"/>
    <w:rsid w:val="003C0024"/>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D670F"/>
    <w:rsid w:val="003D78A0"/>
    <w:rsid w:val="003D7A5D"/>
    <w:rsid w:val="003E1394"/>
    <w:rsid w:val="003E2BDE"/>
    <w:rsid w:val="003E369A"/>
    <w:rsid w:val="003E3A7C"/>
    <w:rsid w:val="003E3CD8"/>
    <w:rsid w:val="003E53BB"/>
    <w:rsid w:val="003E604E"/>
    <w:rsid w:val="003E6646"/>
    <w:rsid w:val="003E69AC"/>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4D6F"/>
    <w:rsid w:val="00406887"/>
    <w:rsid w:val="0040756A"/>
    <w:rsid w:val="00414E1D"/>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517"/>
    <w:rsid w:val="00444D6C"/>
    <w:rsid w:val="004453BB"/>
    <w:rsid w:val="0044720E"/>
    <w:rsid w:val="00450EF8"/>
    <w:rsid w:val="00451271"/>
    <w:rsid w:val="004543ED"/>
    <w:rsid w:val="00463A68"/>
    <w:rsid w:val="0046402B"/>
    <w:rsid w:val="004645B3"/>
    <w:rsid w:val="00465F13"/>
    <w:rsid w:val="0046699D"/>
    <w:rsid w:val="00474E67"/>
    <w:rsid w:val="00474FA0"/>
    <w:rsid w:val="00475DFB"/>
    <w:rsid w:val="00477C07"/>
    <w:rsid w:val="0049156D"/>
    <w:rsid w:val="00492639"/>
    <w:rsid w:val="00492FDA"/>
    <w:rsid w:val="00497276"/>
    <w:rsid w:val="00497809"/>
    <w:rsid w:val="004A0D35"/>
    <w:rsid w:val="004A17C7"/>
    <w:rsid w:val="004A41BD"/>
    <w:rsid w:val="004A782C"/>
    <w:rsid w:val="004A7ADF"/>
    <w:rsid w:val="004B03DA"/>
    <w:rsid w:val="004B1EF8"/>
    <w:rsid w:val="004B42EE"/>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68C8"/>
    <w:rsid w:val="004D77DD"/>
    <w:rsid w:val="004D7E24"/>
    <w:rsid w:val="004D7F48"/>
    <w:rsid w:val="004E2E83"/>
    <w:rsid w:val="004E73B0"/>
    <w:rsid w:val="004F2B12"/>
    <w:rsid w:val="004F2F68"/>
    <w:rsid w:val="004F6299"/>
    <w:rsid w:val="004F7A3D"/>
    <w:rsid w:val="00505026"/>
    <w:rsid w:val="005055A5"/>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01A"/>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335"/>
    <w:rsid w:val="00597DA3"/>
    <w:rsid w:val="005A1864"/>
    <w:rsid w:val="005A1B40"/>
    <w:rsid w:val="005A3659"/>
    <w:rsid w:val="005A3E11"/>
    <w:rsid w:val="005A5603"/>
    <w:rsid w:val="005A638A"/>
    <w:rsid w:val="005A6B3C"/>
    <w:rsid w:val="005A718C"/>
    <w:rsid w:val="005A7306"/>
    <w:rsid w:val="005A7381"/>
    <w:rsid w:val="005A772A"/>
    <w:rsid w:val="005A7F97"/>
    <w:rsid w:val="005B207E"/>
    <w:rsid w:val="005B41E8"/>
    <w:rsid w:val="005B653A"/>
    <w:rsid w:val="005B7115"/>
    <w:rsid w:val="005B775E"/>
    <w:rsid w:val="005B7776"/>
    <w:rsid w:val="005C6516"/>
    <w:rsid w:val="005D1F5B"/>
    <w:rsid w:val="005D21ED"/>
    <w:rsid w:val="005D2248"/>
    <w:rsid w:val="005D23E2"/>
    <w:rsid w:val="005D2D03"/>
    <w:rsid w:val="005D3F3A"/>
    <w:rsid w:val="005D4407"/>
    <w:rsid w:val="005D4B05"/>
    <w:rsid w:val="005D6D26"/>
    <w:rsid w:val="005D761F"/>
    <w:rsid w:val="005E1BE3"/>
    <w:rsid w:val="005E624D"/>
    <w:rsid w:val="005E6321"/>
    <w:rsid w:val="005F0373"/>
    <w:rsid w:val="005F2232"/>
    <w:rsid w:val="005F4A7E"/>
    <w:rsid w:val="005F4D2C"/>
    <w:rsid w:val="005F628C"/>
    <w:rsid w:val="005F7356"/>
    <w:rsid w:val="005F7E1B"/>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28D"/>
    <w:rsid w:val="00654E66"/>
    <w:rsid w:val="006550A5"/>
    <w:rsid w:val="0065794A"/>
    <w:rsid w:val="006604A7"/>
    <w:rsid w:val="006604E7"/>
    <w:rsid w:val="006613B0"/>
    <w:rsid w:val="0066267D"/>
    <w:rsid w:val="0066272C"/>
    <w:rsid w:val="00662AB0"/>
    <w:rsid w:val="00662B4A"/>
    <w:rsid w:val="0066469F"/>
    <w:rsid w:val="00665483"/>
    <w:rsid w:val="006670DA"/>
    <w:rsid w:val="00670916"/>
    <w:rsid w:val="00671A88"/>
    <w:rsid w:val="00671E20"/>
    <w:rsid w:val="00673537"/>
    <w:rsid w:val="00673BA4"/>
    <w:rsid w:val="00674F18"/>
    <w:rsid w:val="00676D1F"/>
    <w:rsid w:val="00680165"/>
    <w:rsid w:val="0068235D"/>
    <w:rsid w:val="0068302C"/>
    <w:rsid w:val="00685642"/>
    <w:rsid w:val="006856E5"/>
    <w:rsid w:val="00685A73"/>
    <w:rsid w:val="00686FBC"/>
    <w:rsid w:val="00692130"/>
    <w:rsid w:val="00694823"/>
    <w:rsid w:val="00696E9D"/>
    <w:rsid w:val="0069720F"/>
    <w:rsid w:val="006A019B"/>
    <w:rsid w:val="006A07AE"/>
    <w:rsid w:val="006A18D4"/>
    <w:rsid w:val="006A3282"/>
    <w:rsid w:val="006A62A2"/>
    <w:rsid w:val="006A66E3"/>
    <w:rsid w:val="006A6EAC"/>
    <w:rsid w:val="006B0D02"/>
    <w:rsid w:val="006B17BE"/>
    <w:rsid w:val="006B1EDA"/>
    <w:rsid w:val="006B3906"/>
    <w:rsid w:val="006B463E"/>
    <w:rsid w:val="006B46D8"/>
    <w:rsid w:val="006B572C"/>
    <w:rsid w:val="006B6A9B"/>
    <w:rsid w:val="006B6FF1"/>
    <w:rsid w:val="006B7B74"/>
    <w:rsid w:val="006C3095"/>
    <w:rsid w:val="006C5FFF"/>
    <w:rsid w:val="006C674B"/>
    <w:rsid w:val="006D4225"/>
    <w:rsid w:val="006D47D2"/>
    <w:rsid w:val="006D611D"/>
    <w:rsid w:val="006D648E"/>
    <w:rsid w:val="006D65DA"/>
    <w:rsid w:val="006D77BB"/>
    <w:rsid w:val="006E1144"/>
    <w:rsid w:val="006E1DC2"/>
    <w:rsid w:val="006E1E48"/>
    <w:rsid w:val="006E2345"/>
    <w:rsid w:val="006E4E35"/>
    <w:rsid w:val="006E4F62"/>
    <w:rsid w:val="006E77E7"/>
    <w:rsid w:val="006F2B4E"/>
    <w:rsid w:val="007034FE"/>
    <w:rsid w:val="007045B0"/>
    <w:rsid w:val="00704CC3"/>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2FFF"/>
    <w:rsid w:val="00723BD0"/>
    <w:rsid w:val="00724F51"/>
    <w:rsid w:val="00726D4D"/>
    <w:rsid w:val="00727982"/>
    <w:rsid w:val="007366B9"/>
    <w:rsid w:val="00736A92"/>
    <w:rsid w:val="0074030B"/>
    <w:rsid w:val="0074101D"/>
    <w:rsid w:val="00741A10"/>
    <w:rsid w:val="00741FF0"/>
    <w:rsid w:val="00742689"/>
    <w:rsid w:val="00747A2C"/>
    <w:rsid w:val="00750CEB"/>
    <w:rsid w:val="00752857"/>
    <w:rsid w:val="00754852"/>
    <w:rsid w:val="00756B59"/>
    <w:rsid w:val="00757C74"/>
    <w:rsid w:val="00760D23"/>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862"/>
    <w:rsid w:val="007D4E54"/>
    <w:rsid w:val="007D5A9E"/>
    <w:rsid w:val="007D6048"/>
    <w:rsid w:val="007D6C01"/>
    <w:rsid w:val="007E1F3B"/>
    <w:rsid w:val="007E2B36"/>
    <w:rsid w:val="007E2BF7"/>
    <w:rsid w:val="007E4809"/>
    <w:rsid w:val="007E4F8D"/>
    <w:rsid w:val="007E56D8"/>
    <w:rsid w:val="007E5C87"/>
    <w:rsid w:val="007F015A"/>
    <w:rsid w:val="007F0E1E"/>
    <w:rsid w:val="007F13F5"/>
    <w:rsid w:val="007F182F"/>
    <w:rsid w:val="007F628B"/>
    <w:rsid w:val="007F62EA"/>
    <w:rsid w:val="007F700C"/>
    <w:rsid w:val="007F745C"/>
    <w:rsid w:val="00801967"/>
    <w:rsid w:val="0080248E"/>
    <w:rsid w:val="008031B5"/>
    <w:rsid w:val="008072FF"/>
    <w:rsid w:val="00810FB0"/>
    <w:rsid w:val="0081689A"/>
    <w:rsid w:val="00820203"/>
    <w:rsid w:val="008212BC"/>
    <w:rsid w:val="008240E1"/>
    <w:rsid w:val="0082583A"/>
    <w:rsid w:val="00826532"/>
    <w:rsid w:val="0083389F"/>
    <w:rsid w:val="00835C3C"/>
    <w:rsid w:val="00836C44"/>
    <w:rsid w:val="008372FD"/>
    <w:rsid w:val="00842B4F"/>
    <w:rsid w:val="00843A28"/>
    <w:rsid w:val="00843AAA"/>
    <w:rsid w:val="008451D1"/>
    <w:rsid w:val="008510F1"/>
    <w:rsid w:val="00853D81"/>
    <w:rsid w:val="008556A6"/>
    <w:rsid w:val="00856FDC"/>
    <w:rsid w:val="00861537"/>
    <w:rsid w:val="008627A1"/>
    <w:rsid w:val="00863723"/>
    <w:rsid w:val="00863EBB"/>
    <w:rsid w:val="00864664"/>
    <w:rsid w:val="00866314"/>
    <w:rsid w:val="008671F5"/>
    <w:rsid w:val="00871645"/>
    <w:rsid w:val="00873715"/>
    <w:rsid w:val="0087373E"/>
    <w:rsid w:val="00874FE0"/>
    <w:rsid w:val="00875CB4"/>
    <w:rsid w:val="0087603C"/>
    <w:rsid w:val="008764E7"/>
    <w:rsid w:val="00880396"/>
    <w:rsid w:val="00882832"/>
    <w:rsid w:val="00884014"/>
    <w:rsid w:val="008847EB"/>
    <w:rsid w:val="00885543"/>
    <w:rsid w:val="00885DDB"/>
    <w:rsid w:val="008918FD"/>
    <w:rsid w:val="008920BD"/>
    <w:rsid w:val="008921D3"/>
    <w:rsid w:val="00893454"/>
    <w:rsid w:val="00895CDB"/>
    <w:rsid w:val="0089639C"/>
    <w:rsid w:val="008A0249"/>
    <w:rsid w:val="008A0996"/>
    <w:rsid w:val="008A24BF"/>
    <w:rsid w:val="008A4BA1"/>
    <w:rsid w:val="008B24BB"/>
    <w:rsid w:val="008B381F"/>
    <w:rsid w:val="008B4235"/>
    <w:rsid w:val="008B6A34"/>
    <w:rsid w:val="008B6E93"/>
    <w:rsid w:val="008B6E98"/>
    <w:rsid w:val="008B7DF8"/>
    <w:rsid w:val="008C597F"/>
    <w:rsid w:val="008C5EEC"/>
    <w:rsid w:val="008C60E9"/>
    <w:rsid w:val="008D39DD"/>
    <w:rsid w:val="008D3E07"/>
    <w:rsid w:val="008D4BA9"/>
    <w:rsid w:val="008D73E1"/>
    <w:rsid w:val="008E0A4B"/>
    <w:rsid w:val="008E1A58"/>
    <w:rsid w:val="008E314F"/>
    <w:rsid w:val="008E4A88"/>
    <w:rsid w:val="008E715E"/>
    <w:rsid w:val="008F2C5A"/>
    <w:rsid w:val="008F616D"/>
    <w:rsid w:val="008F6413"/>
    <w:rsid w:val="008F68CF"/>
    <w:rsid w:val="008F7D93"/>
    <w:rsid w:val="0090028C"/>
    <w:rsid w:val="00901ECE"/>
    <w:rsid w:val="009038CE"/>
    <w:rsid w:val="00904C88"/>
    <w:rsid w:val="009050A8"/>
    <w:rsid w:val="00906173"/>
    <w:rsid w:val="00906356"/>
    <w:rsid w:val="00906895"/>
    <w:rsid w:val="0090773A"/>
    <w:rsid w:val="009100AC"/>
    <w:rsid w:val="009112A9"/>
    <w:rsid w:val="00912016"/>
    <w:rsid w:val="009147F7"/>
    <w:rsid w:val="0092034B"/>
    <w:rsid w:val="00922EBD"/>
    <w:rsid w:val="00923B69"/>
    <w:rsid w:val="00923E93"/>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57C36"/>
    <w:rsid w:val="0096268B"/>
    <w:rsid w:val="009626F8"/>
    <w:rsid w:val="00965EC6"/>
    <w:rsid w:val="00966889"/>
    <w:rsid w:val="0097304D"/>
    <w:rsid w:val="009733BF"/>
    <w:rsid w:val="009776DE"/>
    <w:rsid w:val="0098134C"/>
    <w:rsid w:val="009819AE"/>
    <w:rsid w:val="009829B0"/>
    <w:rsid w:val="00983910"/>
    <w:rsid w:val="00983A27"/>
    <w:rsid w:val="00983FE9"/>
    <w:rsid w:val="00985E49"/>
    <w:rsid w:val="009864AF"/>
    <w:rsid w:val="009928D4"/>
    <w:rsid w:val="009932A0"/>
    <w:rsid w:val="00996AC8"/>
    <w:rsid w:val="009A04AF"/>
    <w:rsid w:val="009A08FB"/>
    <w:rsid w:val="009A2280"/>
    <w:rsid w:val="009A2C6C"/>
    <w:rsid w:val="009A43A2"/>
    <w:rsid w:val="009B1D86"/>
    <w:rsid w:val="009B23FF"/>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0B25"/>
    <w:rsid w:val="009E28EF"/>
    <w:rsid w:val="009E2929"/>
    <w:rsid w:val="009E30E5"/>
    <w:rsid w:val="009E571C"/>
    <w:rsid w:val="009E5870"/>
    <w:rsid w:val="009F14F7"/>
    <w:rsid w:val="009F183D"/>
    <w:rsid w:val="009F3F7E"/>
    <w:rsid w:val="009F6DBE"/>
    <w:rsid w:val="00A0219E"/>
    <w:rsid w:val="00A0535F"/>
    <w:rsid w:val="00A05FD2"/>
    <w:rsid w:val="00A126D8"/>
    <w:rsid w:val="00A15D47"/>
    <w:rsid w:val="00A16E19"/>
    <w:rsid w:val="00A17573"/>
    <w:rsid w:val="00A23A5A"/>
    <w:rsid w:val="00A25923"/>
    <w:rsid w:val="00A311FE"/>
    <w:rsid w:val="00A33BED"/>
    <w:rsid w:val="00A33FD3"/>
    <w:rsid w:val="00A34818"/>
    <w:rsid w:val="00A35A6B"/>
    <w:rsid w:val="00A37125"/>
    <w:rsid w:val="00A41A58"/>
    <w:rsid w:val="00A46548"/>
    <w:rsid w:val="00A50244"/>
    <w:rsid w:val="00A50E31"/>
    <w:rsid w:val="00A525AA"/>
    <w:rsid w:val="00A53DA9"/>
    <w:rsid w:val="00A55F4E"/>
    <w:rsid w:val="00A57448"/>
    <w:rsid w:val="00A57ACE"/>
    <w:rsid w:val="00A612A7"/>
    <w:rsid w:val="00A61831"/>
    <w:rsid w:val="00A6428E"/>
    <w:rsid w:val="00A6446C"/>
    <w:rsid w:val="00A653A6"/>
    <w:rsid w:val="00A65439"/>
    <w:rsid w:val="00A65BF6"/>
    <w:rsid w:val="00A66640"/>
    <w:rsid w:val="00A669BC"/>
    <w:rsid w:val="00A66F72"/>
    <w:rsid w:val="00A67A2B"/>
    <w:rsid w:val="00A72864"/>
    <w:rsid w:val="00A73A6E"/>
    <w:rsid w:val="00A73DDE"/>
    <w:rsid w:val="00A77BB7"/>
    <w:rsid w:val="00A81045"/>
    <w:rsid w:val="00A81933"/>
    <w:rsid w:val="00A81B15"/>
    <w:rsid w:val="00A85234"/>
    <w:rsid w:val="00A85DBC"/>
    <w:rsid w:val="00A86D7E"/>
    <w:rsid w:val="00A87366"/>
    <w:rsid w:val="00A878EF"/>
    <w:rsid w:val="00A90C91"/>
    <w:rsid w:val="00A9656B"/>
    <w:rsid w:val="00A97B23"/>
    <w:rsid w:val="00AA24C1"/>
    <w:rsid w:val="00AA3612"/>
    <w:rsid w:val="00AA4CA6"/>
    <w:rsid w:val="00AA4DD5"/>
    <w:rsid w:val="00AA5DEE"/>
    <w:rsid w:val="00AB33E6"/>
    <w:rsid w:val="00AB3499"/>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D73E8"/>
    <w:rsid w:val="00AE2DD6"/>
    <w:rsid w:val="00AE35E4"/>
    <w:rsid w:val="00AE747D"/>
    <w:rsid w:val="00AE77EC"/>
    <w:rsid w:val="00AF1CC9"/>
    <w:rsid w:val="00B00821"/>
    <w:rsid w:val="00B01679"/>
    <w:rsid w:val="00B021BE"/>
    <w:rsid w:val="00B02EF5"/>
    <w:rsid w:val="00B02F68"/>
    <w:rsid w:val="00B03CAE"/>
    <w:rsid w:val="00B05546"/>
    <w:rsid w:val="00B05946"/>
    <w:rsid w:val="00B067A5"/>
    <w:rsid w:val="00B06E27"/>
    <w:rsid w:val="00B10A21"/>
    <w:rsid w:val="00B12421"/>
    <w:rsid w:val="00B12FE2"/>
    <w:rsid w:val="00B13EE6"/>
    <w:rsid w:val="00B1526D"/>
    <w:rsid w:val="00B15E24"/>
    <w:rsid w:val="00B221EA"/>
    <w:rsid w:val="00B226D0"/>
    <w:rsid w:val="00B22E92"/>
    <w:rsid w:val="00B30F2A"/>
    <w:rsid w:val="00B31FB5"/>
    <w:rsid w:val="00B3223D"/>
    <w:rsid w:val="00B34988"/>
    <w:rsid w:val="00B35E08"/>
    <w:rsid w:val="00B3698F"/>
    <w:rsid w:val="00B3714F"/>
    <w:rsid w:val="00B406C1"/>
    <w:rsid w:val="00B41E8F"/>
    <w:rsid w:val="00B42372"/>
    <w:rsid w:val="00B42C7A"/>
    <w:rsid w:val="00B44009"/>
    <w:rsid w:val="00B463E3"/>
    <w:rsid w:val="00B47443"/>
    <w:rsid w:val="00B47B48"/>
    <w:rsid w:val="00B5001E"/>
    <w:rsid w:val="00B50CF7"/>
    <w:rsid w:val="00B52C8A"/>
    <w:rsid w:val="00B5445A"/>
    <w:rsid w:val="00B558AB"/>
    <w:rsid w:val="00B5702C"/>
    <w:rsid w:val="00B57FF1"/>
    <w:rsid w:val="00B606D9"/>
    <w:rsid w:val="00B60991"/>
    <w:rsid w:val="00B61B8C"/>
    <w:rsid w:val="00B62D3B"/>
    <w:rsid w:val="00B64ABD"/>
    <w:rsid w:val="00B65225"/>
    <w:rsid w:val="00B70989"/>
    <w:rsid w:val="00B72FB5"/>
    <w:rsid w:val="00B73543"/>
    <w:rsid w:val="00B739BA"/>
    <w:rsid w:val="00B73AE2"/>
    <w:rsid w:val="00B73BFC"/>
    <w:rsid w:val="00B7504A"/>
    <w:rsid w:val="00B80274"/>
    <w:rsid w:val="00B8397B"/>
    <w:rsid w:val="00B8446C"/>
    <w:rsid w:val="00B84970"/>
    <w:rsid w:val="00B876F0"/>
    <w:rsid w:val="00B87ECE"/>
    <w:rsid w:val="00B9181B"/>
    <w:rsid w:val="00B925DD"/>
    <w:rsid w:val="00B94AC5"/>
    <w:rsid w:val="00B9543F"/>
    <w:rsid w:val="00B95A46"/>
    <w:rsid w:val="00B9688D"/>
    <w:rsid w:val="00BA146A"/>
    <w:rsid w:val="00BA1CBC"/>
    <w:rsid w:val="00BA1D66"/>
    <w:rsid w:val="00BA3CF7"/>
    <w:rsid w:val="00BB087F"/>
    <w:rsid w:val="00BB16F4"/>
    <w:rsid w:val="00BB5FFE"/>
    <w:rsid w:val="00BB6A38"/>
    <w:rsid w:val="00BC077E"/>
    <w:rsid w:val="00BC1AF0"/>
    <w:rsid w:val="00BC40A6"/>
    <w:rsid w:val="00BC4CBB"/>
    <w:rsid w:val="00BC5AE7"/>
    <w:rsid w:val="00BC7493"/>
    <w:rsid w:val="00BC7FED"/>
    <w:rsid w:val="00BD05B8"/>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27B45"/>
    <w:rsid w:val="00C3198F"/>
    <w:rsid w:val="00C329CB"/>
    <w:rsid w:val="00C34F14"/>
    <w:rsid w:val="00C36435"/>
    <w:rsid w:val="00C42EA1"/>
    <w:rsid w:val="00C47445"/>
    <w:rsid w:val="00C50891"/>
    <w:rsid w:val="00C51228"/>
    <w:rsid w:val="00C51ECB"/>
    <w:rsid w:val="00C53A1A"/>
    <w:rsid w:val="00C53B3C"/>
    <w:rsid w:val="00C546CF"/>
    <w:rsid w:val="00C56601"/>
    <w:rsid w:val="00C575F0"/>
    <w:rsid w:val="00C578B3"/>
    <w:rsid w:val="00C616DF"/>
    <w:rsid w:val="00C636F8"/>
    <w:rsid w:val="00C70E7D"/>
    <w:rsid w:val="00C72554"/>
    <w:rsid w:val="00C73658"/>
    <w:rsid w:val="00C80CB7"/>
    <w:rsid w:val="00C816A2"/>
    <w:rsid w:val="00C8176D"/>
    <w:rsid w:val="00C81962"/>
    <w:rsid w:val="00C82696"/>
    <w:rsid w:val="00C82C1B"/>
    <w:rsid w:val="00C83065"/>
    <w:rsid w:val="00C8380C"/>
    <w:rsid w:val="00C83DD1"/>
    <w:rsid w:val="00C84376"/>
    <w:rsid w:val="00C847AC"/>
    <w:rsid w:val="00C91E2D"/>
    <w:rsid w:val="00C93060"/>
    <w:rsid w:val="00C93D3B"/>
    <w:rsid w:val="00C94692"/>
    <w:rsid w:val="00C95CAE"/>
    <w:rsid w:val="00C96161"/>
    <w:rsid w:val="00C96A24"/>
    <w:rsid w:val="00C97B91"/>
    <w:rsid w:val="00CA14DF"/>
    <w:rsid w:val="00CA3229"/>
    <w:rsid w:val="00CA32E8"/>
    <w:rsid w:val="00CA40DE"/>
    <w:rsid w:val="00CA559C"/>
    <w:rsid w:val="00CA6520"/>
    <w:rsid w:val="00CB1793"/>
    <w:rsid w:val="00CB18F5"/>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4B12"/>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6447"/>
    <w:rsid w:val="00D072A2"/>
    <w:rsid w:val="00D07CEE"/>
    <w:rsid w:val="00D12280"/>
    <w:rsid w:val="00D1300C"/>
    <w:rsid w:val="00D150B1"/>
    <w:rsid w:val="00D150DB"/>
    <w:rsid w:val="00D154CC"/>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1099"/>
    <w:rsid w:val="00D43968"/>
    <w:rsid w:val="00D50D6E"/>
    <w:rsid w:val="00D50DBD"/>
    <w:rsid w:val="00D520E4"/>
    <w:rsid w:val="00D526A5"/>
    <w:rsid w:val="00D52C0F"/>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362B"/>
    <w:rsid w:val="00D74ED9"/>
    <w:rsid w:val="00D75D35"/>
    <w:rsid w:val="00D80F14"/>
    <w:rsid w:val="00D80F86"/>
    <w:rsid w:val="00D82619"/>
    <w:rsid w:val="00D831F6"/>
    <w:rsid w:val="00D839B8"/>
    <w:rsid w:val="00D83AAD"/>
    <w:rsid w:val="00D84411"/>
    <w:rsid w:val="00D90132"/>
    <w:rsid w:val="00D905F6"/>
    <w:rsid w:val="00D9135B"/>
    <w:rsid w:val="00D919AC"/>
    <w:rsid w:val="00D91D89"/>
    <w:rsid w:val="00D97D52"/>
    <w:rsid w:val="00DA025E"/>
    <w:rsid w:val="00DA33D5"/>
    <w:rsid w:val="00DA518A"/>
    <w:rsid w:val="00DA706D"/>
    <w:rsid w:val="00DB0073"/>
    <w:rsid w:val="00DB0BA5"/>
    <w:rsid w:val="00DB1284"/>
    <w:rsid w:val="00DB71C7"/>
    <w:rsid w:val="00DB773E"/>
    <w:rsid w:val="00DC1331"/>
    <w:rsid w:val="00DC2AA2"/>
    <w:rsid w:val="00DC39A9"/>
    <w:rsid w:val="00DC53E7"/>
    <w:rsid w:val="00DC756C"/>
    <w:rsid w:val="00DC7BB8"/>
    <w:rsid w:val="00DC7EFB"/>
    <w:rsid w:val="00DD00AF"/>
    <w:rsid w:val="00DD0C2C"/>
    <w:rsid w:val="00DD3142"/>
    <w:rsid w:val="00DD576B"/>
    <w:rsid w:val="00DE22B1"/>
    <w:rsid w:val="00DE263D"/>
    <w:rsid w:val="00DE283D"/>
    <w:rsid w:val="00DE4455"/>
    <w:rsid w:val="00DE60C1"/>
    <w:rsid w:val="00DE67FC"/>
    <w:rsid w:val="00DF019F"/>
    <w:rsid w:val="00DF0815"/>
    <w:rsid w:val="00DF271B"/>
    <w:rsid w:val="00DF2BBB"/>
    <w:rsid w:val="00DF30DF"/>
    <w:rsid w:val="00DF4542"/>
    <w:rsid w:val="00DF5A00"/>
    <w:rsid w:val="00E02397"/>
    <w:rsid w:val="00E064D0"/>
    <w:rsid w:val="00E06B0C"/>
    <w:rsid w:val="00E06B4B"/>
    <w:rsid w:val="00E07B9A"/>
    <w:rsid w:val="00E11534"/>
    <w:rsid w:val="00E15F57"/>
    <w:rsid w:val="00E175CB"/>
    <w:rsid w:val="00E22B3F"/>
    <w:rsid w:val="00E237F4"/>
    <w:rsid w:val="00E238E4"/>
    <w:rsid w:val="00E23AF7"/>
    <w:rsid w:val="00E23E48"/>
    <w:rsid w:val="00E253B2"/>
    <w:rsid w:val="00E257AF"/>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229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0E"/>
    <w:rsid w:val="00EA17EC"/>
    <w:rsid w:val="00EA20D4"/>
    <w:rsid w:val="00EA3C24"/>
    <w:rsid w:val="00EA5C32"/>
    <w:rsid w:val="00EA7566"/>
    <w:rsid w:val="00EA7B28"/>
    <w:rsid w:val="00EB07E5"/>
    <w:rsid w:val="00EB2122"/>
    <w:rsid w:val="00EB342C"/>
    <w:rsid w:val="00EB47AD"/>
    <w:rsid w:val="00EC089C"/>
    <w:rsid w:val="00EC2A82"/>
    <w:rsid w:val="00EC44C8"/>
    <w:rsid w:val="00EC556A"/>
    <w:rsid w:val="00EC7140"/>
    <w:rsid w:val="00EC722B"/>
    <w:rsid w:val="00EC7E41"/>
    <w:rsid w:val="00ED0C81"/>
    <w:rsid w:val="00ED509A"/>
    <w:rsid w:val="00ED5262"/>
    <w:rsid w:val="00ED5719"/>
    <w:rsid w:val="00ED5D0F"/>
    <w:rsid w:val="00EE109A"/>
    <w:rsid w:val="00EE11B3"/>
    <w:rsid w:val="00EE2E65"/>
    <w:rsid w:val="00EE3C68"/>
    <w:rsid w:val="00EE6D74"/>
    <w:rsid w:val="00EF0A71"/>
    <w:rsid w:val="00EF1190"/>
    <w:rsid w:val="00EF2D85"/>
    <w:rsid w:val="00EF3549"/>
    <w:rsid w:val="00EF3BAD"/>
    <w:rsid w:val="00EF3D28"/>
    <w:rsid w:val="00EF4968"/>
    <w:rsid w:val="00EF5D37"/>
    <w:rsid w:val="00EF74A9"/>
    <w:rsid w:val="00EF7BA9"/>
    <w:rsid w:val="00F00944"/>
    <w:rsid w:val="00F023A9"/>
    <w:rsid w:val="00F0343A"/>
    <w:rsid w:val="00F049C4"/>
    <w:rsid w:val="00F05434"/>
    <w:rsid w:val="00F06B98"/>
    <w:rsid w:val="00F06C54"/>
    <w:rsid w:val="00F06DD8"/>
    <w:rsid w:val="00F072D8"/>
    <w:rsid w:val="00F10825"/>
    <w:rsid w:val="00F1357B"/>
    <w:rsid w:val="00F15C84"/>
    <w:rsid w:val="00F16188"/>
    <w:rsid w:val="00F176F7"/>
    <w:rsid w:val="00F20B94"/>
    <w:rsid w:val="00F21630"/>
    <w:rsid w:val="00F21AA3"/>
    <w:rsid w:val="00F21B36"/>
    <w:rsid w:val="00F21FA0"/>
    <w:rsid w:val="00F22AF9"/>
    <w:rsid w:val="00F260BB"/>
    <w:rsid w:val="00F262D7"/>
    <w:rsid w:val="00F26BC3"/>
    <w:rsid w:val="00F30B22"/>
    <w:rsid w:val="00F30C72"/>
    <w:rsid w:val="00F31369"/>
    <w:rsid w:val="00F31F73"/>
    <w:rsid w:val="00F3281B"/>
    <w:rsid w:val="00F334EA"/>
    <w:rsid w:val="00F33C1F"/>
    <w:rsid w:val="00F33C35"/>
    <w:rsid w:val="00F35313"/>
    <w:rsid w:val="00F3578A"/>
    <w:rsid w:val="00F36867"/>
    <w:rsid w:val="00F37FA4"/>
    <w:rsid w:val="00F41776"/>
    <w:rsid w:val="00F424E6"/>
    <w:rsid w:val="00F43104"/>
    <w:rsid w:val="00F44A61"/>
    <w:rsid w:val="00F4734D"/>
    <w:rsid w:val="00F47D81"/>
    <w:rsid w:val="00F51291"/>
    <w:rsid w:val="00F52F19"/>
    <w:rsid w:val="00F55467"/>
    <w:rsid w:val="00F55A14"/>
    <w:rsid w:val="00F56DD6"/>
    <w:rsid w:val="00F63A09"/>
    <w:rsid w:val="00F640C8"/>
    <w:rsid w:val="00F64E51"/>
    <w:rsid w:val="00F655A1"/>
    <w:rsid w:val="00F66A1B"/>
    <w:rsid w:val="00F7146E"/>
    <w:rsid w:val="00F739ED"/>
    <w:rsid w:val="00F75DB0"/>
    <w:rsid w:val="00F76FBE"/>
    <w:rsid w:val="00F7778F"/>
    <w:rsid w:val="00F77D34"/>
    <w:rsid w:val="00F8105F"/>
    <w:rsid w:val="00F82105"/>
    <w:rsid w:val="00F82196"/>
    <w:rsid w:val="00F825CC"/>
    <w:rsid w:val="00F835C1"/>
    <w:rsid w:val="00F84B44"/>
    <w:rsid w:val="00F84CC4"/>
    <w:rsid w:val="00F86875"/>
    <w:rsid w:val="00F8704F"/>
    <w:rsid w:val="00F87B0C"/>
    <w:rsid w:val="00F91E93"/>
    <w:rsid w:val="00F957DB"/>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104D"/>
    <w:rsid w:val="00FF13B9"/>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724A6C"/>
  <w15:docId w15:val="{F127B211-29D6-41BD-AFC2-0B91D524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rsid w:val="005F628C"/>
    <w:pPr>
      <w:jc w:val="center"/>
    </w:pPr>
    <w:rPr>
      <w:rFonts w:ascii="Tms Rmn" w:eastAsia="SimSun" w:hAnsi="Tms Rmn"/>
      <w:lang w:val="en-US" w:eastAsia="ja-JP"/>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5F628C"/>
    <w:rPr>
      <w:rFonts w:ascii="Tms Rmn" w:eastAsia="SimSun" w:hAnsi="Tms Rmn"/>
      <w:sz w:val="18"/>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3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basedOn w:val="a"/>
    <w:uiPriority w:val="34"/>
    <w:qFormat/>
    <w:rsid w:val="00BA3CF7"/>
    <w:pPr>
      <w:overflowPunct w:val="0"/>
      <w:autoSpaceDE w:val="0"/>
      <w:autoSpaceDN w:val="0"/>
      <w:adjustRightInd w:val="0"/>
      <w:ind w:left="720"/>
      <w:contextualSpacing/>
      <w:textAlignment w:val="baseline"/>
    </w:pPr>
    <w:rPr>
      <w:rFonts w:eastAsia="Times New Roman"/>
    </w:rPr>
  </w:style>
  <w:style w:type="character" w:customStyle="1" w:styleId="TALChar">
    <w:name w:val="TAL Char"/>
    <w:rsid w:val="00474E6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2673100">
      <w:bodyDiv w:val="1"/>
      <w:marLeft w:val="0"/>
      <w:marRight w:val="0"/>
      <w:marTop w:val="0"/>
      <w:marBottom w:val="0"/>
      <w:divBdr>
        <w:top w:val="none" w:sz="0" w:space="0" w:color="auto"/>
        <w:left w:val="none" w:sz="0" w:space="0" w:color="auto"/>
        <w:bottom w:val="none" w:sz="0" w:space="0" w:color="auto"/>
        <w:right w:val="none" w:sz="0" w:space="0" w:color="auto"/>
      </w:divBdr>
      <w:divsChild>
        <w:div w:id="1862433043">
          <w:marLeft w:val="0"/>
          <w:marRight w:val="0"/>
          <w:marTop w:val="0"/>
          <w:marBottom w:val="0"/>
          <w:divBdr>
            <w:top w:val="none" w:sz="0" w:space="0" w:color="auto"/>
            <w:left w:val="none" w:sz="0" w:space="0" w:color="auto"/>
            <w:bottom w:val="none" w:sz="0" w:space="0" w:color="auto"/>
            <w:right w:val="none" w:sz="0" w:space="0" w:color="auto"/>
          </w:divBdr>
          <w:divsChild>
            <w:div w:id="427386917">
              <w:marLeft w:val="0"/>
              <w:marRight w:val="0"/>
              <w:marTop w:val="0"/>
              <w:marBottom w:val="0"/>
              <w:divBdr>
                <w:top w:val="none" w:sz="0" w:space="0" w:color="auto"/>
                <w:left w:val="none" w:sz="0" w:space="0" w:color="auto"/>
                <w:bottom w:val="none" w:sz="0" w:space="0" w:color="auto"/>
                <w:right w:val="none" w:sz="0" w:space="0" w:color="auto"/>
              </w:divBdr>
              <w:divsChild>
                <w:div w:id="1395935144">
                  <w:marLeft w:val="0"/>
                  <w:marRight w:val="0"/>
                  <w:marTop w:val="0"/>
                  <w:marBottom w:val="0"/>
                  <w:divBdr>
                    <w:top w:val="none" w:sz="0" w:space="0" w:color="auto"/>
                    <w:left w:val="none" w:sz="0" w:space="0" w:color="auto"/>
                    <w:bottom w:val="none" w:sz="0" w:space="0" w:color="auto"/>
                    <w:right w:val="none" w:sz="0" w:space="0" w:color="auto"/>
                  </w:divBdr>
                  <w:divsChild>
                    <w:div w:id="158932416">
                      <w:marLeft w:val="0"/>
                      <w:marRight w:val="0"/>
                      <w:marTop w:val="0"/>
                      <w:marBottom w:val="0"/>
                      <w:divBdr>
                        <w:top w:val="none" w:sz="0" w:space="0" w:color="auto"/>
                        <w:left w:val="none" w:sz="0" w:space="0" w:color="auto"/>
                        <w:bottom w:val="none" w:sz="0" w:space="0" w:color="auto"/>
                        <w:right w:val="none" w:sz="0" w:space="0" w:color="auto"/>
                      </w:divBdr>
                      <w:divsChild>
                        <w:div w:id="1024131436">
                          <w:marLeft w:val="0"/>
                          <w:marRight w:val="0"/>
                          <w:marTop w:val="0"/>
                          <w:marBottom w:val="0"/>
                          <w:divBdr>
                            <w:top w:val="none" w:sz="0" w:space="0" w:color="auto"/>
                            <w:left w:val="none" w:sz="0" w:space="0" w:color="auto"/>
                            <w:bottom w:val="none" w:sz="0" w:space="0" w:color="auto"/>
                            <w:right w:val="none" w:sz="0" w:space="0" w:color="auto"/>
                          </w:divBdr>
                          <w:divsChild>
                            <w:div w:id="2119327165">
                              <w:marLeft w:val="0"/>
                              <w:marRight w:val="0"/>
                              <w:marTop w:val="0"/>
                              <w:marBottom w:val="0"/>
                              <w:divBdr>
                                <w:top w:val="none" w:sz="0" w:space="0" w:color="auto"/>
                                <w:left w:val="none" w:sz="0" w:space="0" w:color="auto"/>
                                <w:bottom w:val="none" w:sz="0" w:space="0" w:color="auto"/>
                                <w:right w:val="none" w:sz="0" w:space="0" w:color="auto"/>
                              </w:divBdr>
                              <w:divsChild>
                                <w:div w:id="1561792076">
                                  <w:marLeft w:val="0"/>
                                  <w:marRight w:val="0"/>
                                  <w:marTop w:val="0"/>
                                  <w:marBottom w:val="0"/>
                                  <w:divBdr>
                                    <w:top w:val="none" w:sz="0" w:space="0" w:color="auto"/>
                                    <w:left w:val="none" w:sz="0" w:space="0" w:color="auto"/>
                                    <w:bottom w:val="none" w:sz="0" w:space="0" w:color="auto"/>
                                    <w:right w:val="none" w:sz="0" w:space="0" w:color="auto"/>
                                  </w:divBdr>
                                  <w:divsChild>
                                    <w:div w:id="1124422324">
                                      <w:marLeft w:val="0"/>
                                      <w:marRight w:val="0"/>
                                      <w:marTop w:val="0"/>
                                      <w:marBottom w:val="0"/>
                                      <w:divBdr>
                                        <w:top w:val="none" w:sz="0" w:space="0" w:color="auto"/>
                                        <w:left w:val="none" w:sz="0" w:space="0" w:color="auto"/>
                                        <w:bottom w:val="none" w:sz="0" w:space="0" w:color="auto"/>
                                        <w:right w:val="none" w:sz="0" w:space="0" w:color="auto"/>
                                      </w:divBdr>
                                      <w:divsChild>
                                        <w:div w:id="1750424087">
                                          <w:marLeft w:val="0"/>
                                          <w:marRight w:val="0"/>
                                          <w:marTop w:val="0"/>
                                          <w:marBottom w:val="495"/>
                                          <w:divBdr>
                                            <w:top w:val="none" w:sz="0" w:space="0" w:color="auto"/>
                                            <w:left w:val="none" w:sz="0" w:space="0" w:color="auto"/>
                                            <w:bottom w:val="none" w:sz="0" w:space="0" w:color="auto"/>
                                            <w:right w:val="none" w:sz="0" w:space="0" w:color="auto"/>
                                          </w:divBdr>
                                          <w:divsChild>
                                            <w:div w:id="10894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0087865">
      <w:bodyDiv w:val="1"/>
      <w:marLeft w:val="0"/>
      <w:marRight w:val="0"/>
      <w:marTop w:val="0"/>
      <w:marBottom w:val="0"/>
      <w:divBdr>
        <w:top w:val="none" w:sz="0" w:space="0" w:color="auto"/>
        <w:left w:val="none" w:sz="0" w:space="0" w:color="auto"/>
        <w:bottom w:val="none" w:sz="0" w:space="0" w:color="auto"/>
        <w:right w:val="none" w:sz="0" w:space="0" w:color="auto"/>
      </w:divBdr>
      <w:divsChild>
        <w:div w:id="1179780120">
          <w:marLeft w:val="0"/>
          <w:marRight w:val="0"/>
          <w:marTop w:val="0"/>
          <w:marBottom w:val="0"/>
          <w:divBdr>
            <w:top w:val="none" w:sz="0" w:space="0" w:color="auto"/>
            <w:left w:val="none" w:sz="0" w:space="0" w:color="auto"/>
            <w:bottom w:val="none" w:sz="0" w:space="0" w:color="auto"/>
            <w:right w:val="none" w:sz="0" w:space="0" w:color="auto"/>
          </w:divBdr>
          <w:divsChild>
            <w:div w:id="1207638823">
              <w:marLeft w:val="0"/>
              <w:marRight w:val="0"/>
              <w:marTop w:val="0"/>
              <w:marBottom w:val="0"/>
              <w:divBdr>
                <w:top w:val="none" w:sz="0" w:space="0" w:color="auto"/>
                <w:left w:val="none" w:sz="0" w:space="0" w:color="auto"/>
                <w:bottom w:val="none" w:sz="0" w:space="0" w:color="auto"/>
                <w:right w:val="none" w:sz="0" w:space="0" w:color="auto"/>
              </w:divBdr>
              <w:divsChild>
                <w:div w:id="1279531422">
                  <w:marLeft w:val="0"/>
                  <w:marRight w:val="0"/>
                  <w:marTop w:val="0"/>
                  <w:marBottom w:val="0"/>
                  <w:divBdr>
                    <w:top w:val="none" w:sz="0" w:space="0" w:color="auto"/>
                    <w:left w:val="none" w:sz="0" w:space="0" w:color="auto"/>
                    <w:bottom w:val="none" w:sz="0" w:space="0" w:color="auto"/>
                    <w:right w:val="none" w:sz="0" w:space="0" w:color="auto"/>
                  </w:divBdr>
                  <w:divsChild>
                    <w:div w:id="1753351263">
                      <w:marLeft w:val="0"/>
                      <w:marRight w:val="0"/>
                      <w:marTop w:val="0"/>
                      <w:marBottom w:val="0"/>
                      <w:divBdr>
                        <w:top w:val="none" w:sz="0" w:space="0" w:color="auto"/>
                        <w:left w:val="none" w:sz="0" w:space="0" w:color="auto"/>
                        <w:bottom w:val="none" w:sz="0" w:space="0" w:color="auto"/>
                        <w:right w:val="none" w:sz="0" w:space="0" w:color="auto"/>
                      </w:divBdr>
                      <w:divsChild>
                        <w:div w:id="2084986599">
                          <w:marLeft w:val="0"/>
                          <w:marRight w:val="0"/>
                          <w:marTop w:val="0"/>
                          <w:marBottom w:val="0"/>
                          <w:divBdr>
                            <w:top w:val="none" w:sz="0" w:space="0" w:color="auto"/>
                            <w:left w:val="none" w:sz="0" w:space="0" w:color="auto"/>
                            <w:bottom w:val="none" w:sz="0" w:space="0" w:color="auto"/>
                            <w:right w:val="none" w:sz="0" w:space="0" w:color="auto"/>
                          </w:divBdr>
                          <w:divsChild>
                            <w:div w:id="1346634021">
                              <w:marLeft w:val="0"/>
                              <w:marRight w:val="0"/>
                              <w:marTop w:val="0"/>
                              <w:marBottom w:val="0"/>
                              <w:divBdr>
                                <w:top w:val="none" w:sz="0" w:space="0" w:color="auto"/>
                                <w:left w:val="none" w:sz="0" w:space="0" w:color="auto"/>
                                <w:bottom w:val="none" w:sz="0" w:space="0" w:color="auto"/>
                                <w:right w:val="none" w:sz="0" w:space="0" w:color="auto"/>
                              </w:divBdr>
                              <w:divsChild>
                                <w:div w:id="7680192">
                                  <w:marLeft w:val="0"/>
                                  <w:marRight w:val="0"/>
                                  <w:marTop w:val="0"/>
                                  <w:marBottom w:val="0"/>
                                  <w:divBdr>
                                    <w:top w:val="none" w:sz="0" w:space="0" w:color="auto"/>
                                    <w:left w:val="none" w:sz="0" w:space="0" w:color="auto"/>
                                    <w:bottom w:val="none" w:sz="0" w:space="0" w:color="auto"/>
                                    <w:right w:val="none" w:sz="0" w:space="0" w:color="auto"/>
                                  </w:divBdr>
                                  <w:divsChild>
                                    <w:div w:id="1021083477">
                                      <w:marLeft w:val="0"/>
                                      <w:marRight w:val="0"/>
                                      <w:marTop w:val="0"/>
                                      <w:marBottom w:val="0"/>
                                      <w:divBdr>
                                        <w:top w:val="none" w:sz="0" w:space="0" w:color="auto"/>
                                        <w:left w:val="none" w:sz="0" w:space="0" w:color="auto"/>
                                        <w:bottom w:val="none" w:sz="0" w:space="0" w:color="auto"/>
                                        <w:right w:val="none" w:sz="0" w:space="0" w:color="auto"/>
                                      </w:divBdr>
                                      <w:divsChild>
                                        <w:div w:id="2066486168">
                                          <w:marLeft w:val="0"/>
                                          <w:marRight w:val="0"/>
                                          <w:marTop w:val="0"/>
                                          <w:marBottom w:val="495"/>
                                          <w:divBdr>
                                            <w:top w:val="none" w:sz="0" w:space="0" w:color="auto"/>
                                            <w:left w:val="none" w:sz="0" w:space="0" w:color="auto"/>
                                            <w:bottom w:val="none" w:sz="0" w:space="0" w:color="auto"/>
                                            <w:right w:val="none" w:sz="0" w:space="0" w:color="auto"/>
                                          </w:divBdr>
                                          <w:divsChild>
                                            <w:div w:id="202952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0549733">
      <w:bodyDiv w:val="1"/>
      <w:marLeft w:val="0"/>
      <w:marRight w:val="0"/>
      <w:marTop w:val="0"/>
      <w:marBottom w:val="0"/>
      <w:divBdr>
        <w:top w:val="none" w:sz="0" w:space="0" w:color="auto"/>
        <w:left w:val="none" w:sz="0" w:space="0" w:color="auto"/>
        <w:bottom w:val="none" w:sz="0" w:space="0" w:color="auto"/>
        <w:right w:val="none" w:sz="0" w:space="0" w:color="auto"/>
      </w:divBdr>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5506702">
      <w:bodyDiv w:val="1"/>
      <w:marLeft w:val="0"/>
      <w:marRight w:val="0"/>
      <w:marTop w:val="0"/>
      <w:marBottom w:val="0"/>
      <w:divBdr>
        <w:top w:val="none" w:sz="0" w:space="0" w:color="auto"/>
        <w:left w:val="none" w:sz="0" w:space="0" w:color="auto"/>
        <w:bottom w:val="none" w:sz="0" w:space="0" w:color="auto"/>
        <w:right w:val="none" w:sz="0" w:space="0" w:color="auto"/>
      </w:divBdr>
    </w:div>
    <w:div w:id="287589326">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1562921">
      <w:bodyDiv w:val="1"/>
      <w:marLeft w:val="0"/>
      <w:marRight w:val="0"/>
      <w:marTop w:val="0"/>
      <w:marBottom w:val="0"/>
      <w:divBdr>
        <w:top w:val="none" w:sz="0" w:space="0" w:color="auto"/>
        <w:left w:val="none" w:sz="0" w:space="0" w:color="auto"/>
        <w:bottom w:val="none" w:sz="0" w:space="0" w:color="auto"/>
        <w:right w:val="none" w:sz="0" w:space="0" w:color="auto"/>
      </w:divBdr>
      <w:divsChild>
        <w:div w:id="1339622197">
          <w:marLeft w:val="0"/>
          <w:marRight w:val="0"/>
          <w:marTop w:val="0"/>
          <w:marBottom w:val="0"/>
          <w:divBdr>
            <w:top w:val="none" w:sz="0" w:space="0" w:color="auto"/>
            <w:left w:val="none" w:sz="0" w:space="0" w:color="auto"/>
            <w:bottom w:val="none" w:sz="0" w:space="0" w:color="auto"/>
            <w:right w:val="none" w:sz="0" w:space="0" w:color="auto"/>
          </w:divBdr>
          <w:divsChild>
            <w:div w:id="375543122">
              <w:marLeft w:val="0"/>
              <w:marRight w:val="0"/>
              <w:marTop w:val="0"/>
              <w:marBottom w:val="0"/>
              <w:divBdr>
                <w:top w:val="none" w:sz="0" w:space="0" w:color="auto"/>
                <w:left w:val="none" w:sz="0" w:space="0" w:color="auto"/>
                <w:bottom w:val="none" w:sz="0" w:space="0" w:color="auto"/>
                <w:right w:val="none" w:sz="0" w:space="0" w:color="auto"/>
              </w:divBdr>
              <w:divsChild>
                <w:div w:id="625359063">
                  <w:marLeft w:val="0"/>
                  <w:marRight w:val="0"/>
                  <w:marTop w:val="0"/>
                  <w:marBottom w:val="0"/>
                  <w:divBdr>
                    <w:top w:val="none" w:sz="0" w:space="0" w:color="auto"/>
                    <w:left w:val="none" w:sz="0" w:space="0" w:color="auto"/>
                    <w:bottom w:val="none" w:sz="0" w:space="0" w:color="auto"/>
                    <w:right w:val="none" w:sz="0" w:space="0" w:color="auto"/>
                  </w:divBdr>
                  <w:divsChild>
                    <w:div w:id="425539155">
                      <w:marLeft w:val="0"/>
                      <w:marRight w:val="0"/>
                      <w:marTop w:val="0"/>
                      <w:marBottom w:val="0"/>
                      <w:divBdr>
                        <w:top w:val="none" w:sz="0" w:space="0" w:color="auto"/>
                        <w:left w:val="none" w:sz="0" w:space="0" w:color="auto"/>
                        <w:bottom w:val="none" w:sz="0" w:space="0" w:color="auto"/>
                        <w:right w:val="none" w:sz="0" w:space="0" w:color="auto"/>
                      </w:divBdr>
                      <w:divsChild>
                        <w:div w:id="1406343047">
                          <w:marLeft w:val="0"/>
                          <w:marRight w:val="0"/>
                          <w:marTop w:val="0"/>
                          <w:marBottom w:val="0"/>
                          <w:divBdr>
                            <w:top w:val="none" w:sz="0" w:space="0" w:color="auto"/>
                            <w:left w:val="none" w:sz="0" w:space="0" w:color="auto"/>
                            <w:bottom w:val="none" w:sz="0" w:space="0" w:color="auto"/>
                            <w:right w:val="none" w:sz="0" w:space="0" w:color="auto"/>
                          </w:divBdr>
                          <w:divsChild>
                            <w:div w:id="1667127398">
                              <w:marLeft w:val="0"/>
                              <w:marRight w:val="0"/>
                              <w:marTop w:val="0"/>
                              <w:marBottom w:val="0"/>
                              <w:divBdr>
                                <w:top w:val="none" w:sz="0" w:space="0" w:color="auto"/>
                                <w:left w:val="none" w:sz="0" w:space="0" w:color="auto"/>
                                <w:bottom w:val="none" w:sz="0" w:space="0" w:color="auto"/>
                                <w:right w:val="none" w:sz="0" w:space="0" w:color="auto"/>
                              </w:divBdr>
                              <w:divsChild>
                                <w:div w:id="1287270910">
                                  <w:marLeft w:val="0"/>
                                  <w:marRight w:val="0"/>
                                  <w:marTop w:val="0"/>
                                  <w:marBottom w:val="0"/>
                                  <w:divBdr>
                                    <w:top w:val="none" w:sz="0" w:space="0" w:color="auto"/>
                                    <w:left w:val="none" w:sz="0" w:space="0" w:color="auto"/>
                                    <w:bottom w:val="none" w:sz="0" w:space="0" w:color="auto"/>
                                    <w:right w:val="none" w:sz="0" w:space="0" w:color="auto"/>
                                  </w:divBdr>
                                  <w:divsChild>
                                    <w:div w:id="512191254">
                                      <w:marLeft w:val="0"/>
                                      <w:marRight w:val="0"/>
                                      <w:marTop w:val="0"/>
                                      <w:marBottom w:val="0"/>
                                      <w:divBdr>
                                        <w:top w:val="none" w:sz="0" w:space="0" w:color="auto"/>
                                        <w:left w:val="none" w:sz="0" w:space="0" w:color="auto"/>
                                        <w:bottom w:val="none" w:sz="0" w:space="0" w:color="auto"/>
                                        <w:right w:val="none" w:sz="0" w:space="0" w:color="auto"/>
                                      </w:divBdr>
                                      <w:divsChild>
                                        <w:div w:id="672142752">
                                          <w:marLeft w:val="0"/>
                                          <w:marRight w:val="0"/>
                                          <w:marTop w:val="0"/>
                                          <w:marBottom w:val="495"/>
                                          <w:divBdr>
                                            <w:top w:val="none" w:sz="0" w:space="0" w:color="auto"/>
                                            <w:left w:val="none" w:sz="0" w:space="0" w:color="auto"/>
                                            <w:bottom w:val="none" w:sz="0" w:space="0" w:color="auto"/>
                                            <w:right w:val="none" w:sz="0" w:space="0" w:color="auto"/>
                                          </w:divBdr>
                                          <w:divsChild>
                                            <w:div w:id="4745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5837514">
      <w:bodyDiv w:val="1"/>
      <w:marLeft w:val="0"/>
      <w:marRight w:val="0"/>
      <w:marTop w:val="0"/>
      <w:marBottom w:val="0"/>
      <w:divBdr>
        <w:top w:val="none" w:sz="0" w:space="0" w:color="auto"/>
        <w:left w:val="none" w:sz="0" w:space="0" w:color="auto"/>
        <w:bottom w:val="none" w:sz="0" w:space="0" w:color="auto"/>
        <w:right w:val="none" w:sz="0" w:space="0" w:color="auto"/>
      </w:divBdr>
      <w:divsChild>
        <w:div w:id="671496464">
          <w:marLeft w:val="0"/>
          <w:marRight w:val="0"/>
          <w:marTop w:val="0"/>
          <w:marBottom w:val="0"/>
          <w:divBdr>
            <w:top w:val="none" w:sz="0" w:space="0" w:color="auto"/>
            <w:left w:val="none" w:sz="0" w:space="0" w:color="auto"/>
            <w:bottom w:val="none" w:sz="0" w:space="0" w:color="auto"/>
            <w:right w:val="none" w:sz="0" w:space="0" w:color="auto"/>
          </w:divBdr>
          <w:divsChild>
            <w:div w:id="2073573137">
              <w:marLeft w:val="0"/>
              <w:marRight w:val="0"/>
              <w:marTop w:val="0"/>
              <w:marBottom w:val="0"/>
              <w:divBdr>
                <w:top w:val="none" w:sz="0" w:space="0" w:color="auto"/>
                <w:left w:val="none" w:sz="0" w:space="0" w:color="auto"/>
                <w:bottom w:val="none" w:sz="0" w:space="0" w:color="auto"/>
                <w:right w:val="none" w:sz="0" w:space="0" w:color="auto"/>
              </w:divBdr>
              <w:divsChild>
                <w:div w:id="334964285">
                  <w:marLeft w:val="0"/>
                  <w:marRight w:val="0"/>
                  <w:marTop w:val="0"/>
                  <w:marBottom w:val="0"/>
                  <w:divBdr>
                    <w:top w:val="none" w:sz="0" w:space="0" w:color="auto"/>
                    <w:left w:val="none" w:sz="0" w:space="0" w:color="auto"/>
                    <w:bottom w:val="none" w:sz="0" w:space="0" w:color="auto"/>
                    <w:right w:val="none" w:sz="0" w:space="0" w:color="auto"/>
                  </w:divBdr>
                  <w:divsChild>
                    <w:div w:id="426386825">
                      <w:marLeft w:val="0"/>
                      <w:marRight w:val="0"/>
                      <w:marTop w:val="0"/>
                      <w:marBottom w:val="0"/>
                      <w:divBdr>
                        <w:top w:val="none" w:sz="0" w:space="0" w:color="auto"/>
                        <w:left w:val="none" w:sz="0" w:space="0" w:color="auto"/>
                        <w:bottom w:val="none" w:sz="0" w:space="0" w:color="auto"/>
                        <w:right w:val="none" w:sz="0" w:space="0" w:color="auto"/>
                      </w:divBdr>
                      <w:divsChild>
                        <w:div w:id="1994530218">
                          <w:marLeft w:val="0"/>
                          <w:marRight w:val="0"/>
                          <w:marTop w:val="0"/>
                          <w:marBottom w:val="0"/>
                          <w:divBdr>
                            <w:top w:val="none" w:sz="0" w:space="0" w:color="auto"/>
                            <w:left w:val="none" w:sz="0" w:space="0" w:color="auto"/>
                            <w:bottom w:val="none" w:sz="0" w:space="0" w:color="auto"/>
                            <w:right w:val="none" w:sz="0" w:space="0" w:color="auto"/>
                          </w:divBdr>
                          <w:divsChild>
                            <w:div w:id="1651054593">
                              <w:marLeft w:val="0"/>
                              <w:marRight w:val="0"/>
                              <w:marTop w:val="0"/>
                              <w:marBottom w:val="0"/>
                              <w:divBdr>
                                <w:top w:val="none" w:sz="0" w:space="0" w:color="auto"/>
                                <w:left w:val="none" w:sz="0" w:space="0" w:color="auto"/>
                                <w:bottom w:val="none" w:sz="0" w:space="0" w:color="auto"/>
                                <w:right w:val="none" w:sz="0" w:space="0" w:color="auto"/>
                              </w:divBdr>
                              <w:divsChild>
                                <w:div w:id="1035421994">
                                  <w:marLeft w:val="0"/>
                                  <w:marRight w:val="0"/>
                                  <w:marTop w:val="0"/>
                                  <w:marBottom w:val="0"/>
                                  <w:divBdr>
                                    <w:top w:val="none" w:sz="0" w:space="0" w:color="auto"/>
                                    <w:left w:val="none" w:sz="0" w:space="0" w:color="auto"/>
                                    <w:bottom w:val="none" w:sz="0" w:space="0" w:color="auto"/>
                                    <w:right w:val="none" w:sz="0" w:space="0" w:color="auto"/>
                                  </w:divBdr>
                                  <w:divsChild>
                                    <w:div w:id="2119526192">
                                      <w:marLeft w:val="0"/>
                                      <w:marRight w:val="0"/>
                                      <w:marTop w:val="0"/>
                                      <w:marBottom w:val="0"/>
                                      <w:divBdr>
                                        <w:top w:val="none" w:sz="0" w:space="0" w:color="auto"/>
                                        <w:left w:val="none" w:sz="0" w:space="0" w:color="auto"/>
                                        <w:bottom w:val="none" w:sz="0" w:space="0" w:color="auto"/>
                                        <w:right w:val="none" w:sz="0" w:space="0" w:color="auto"/>
                                      </w:divBdr>
                                      <w:divsChild>
                                        <w:div w:id="1817525162">
                                          <w:marLeft w:val="0"/>
                                          <w:marRight w:val="0"/>
                                          <w:marTop w:val="0"/>
                                          <w:marBottom w:val="495"/>
                                          <w:divBdr>
                                            <w:top w:val="none" w:sz="0" w:space="0" w:color="auto"/>
                                            <w:left w:val="none" w:sz="0" w:space="0" w:color="auto"/>
                                            <w:bottom w:val="none" w:sz="0" w:space="0" w:color="auto"/>
                                            <w:right w:val="none" w:sz="0" w:space="0" w:color="auto"/>
                                          </w:divBdr>
                                          <w:divsChild>
                                            <w:div w:id="208660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7990486">
      <w:bodyDiv w:val="1"/>
      <w:marLeft w:val="0"/>
      <w:marRight w:val="0"/>
      <w:marTop w:val="0"/>
      <w:marBottom w:val="0"/>
      <w:divBdr>
        <w:top w:val="none" w:sz="0" w:space="0" w:color="auto"/>
        <w:left w:val="none" w:sz="0" w:space="0" w:color="auto"/>
        <w:bottom w:val="none" w:sz="0" w:space="0" w:color="auto"/>
        <w:right w:val="none" w:sz="0" w:space="0" w:color="auto"/>
      </w:divBdr>
      <w:divsChild>
        <w:div w:id="1963071834">
          <w:marLeft w:val="0"/>
          <w:marRight w:val="0"/>
          <w:marTop w:val="0"/>
          <w:marBottom w:val="0"/>
          <w:divBdr>
            <w:top w:val="none" w:sz="0" w:space="0" w:color="auto"/>
            <w:left w:val="none" w:sz="0" w:space="0" w:color="auto"/>
            <w:bottom w:val="none" w:sz="0" w:space="0" w:color="auto"/>
            <w:right w:val="none" w:sz="0" w:space="0" w:color="auto"/>
          </w:divBdr>
          <w:divsChild>
            <w:div w:id="385682332">
              <w:marLeft w:val="0"/>
              <w:marRight w:val="0"/>
              <w:marTop w:val="0"/>
              <w:marBottom w:val="0"/>
              <w:divBdr>
                <w:top w:val="none" w:sz="0" w:space="0" w:color="auto"/>
                <w:left w:val="none" w:sz="0" w:space="0" w:color="auto"/>
                <w:bottom w:val="none" w:sz="0" w:space="0" w:color="auto"/>
                <w:right w:val="none" w:sz="0" w:space="0" w:color="auto"/>
              </w:divBdr>
              <w:divsChild>
                <w:div w:id="1094400378">
                  <w:marLeft w:val="0"/>
                  <w:marRight w:val="0"/>
                  <w:marTop w:val="0"/>
                  <w:marBottom w:val="0"/>
                  <w:divBdr>
                    <w:top w:val="none" w:sz="0" w:space="0" w:color="auto"/>
                    <w:left w:val="none" w:sz="0" w:space="0" w:color="auto"/>
                    <w:bottom w:val="none" w:sz="0" w:space="0" w:color="auto"/>
                    <w:right w:val="none" w:sz="0" w:space="0" w:color="auto"/>
                  </w:divBdr>
                  <w:divsChild>
                    <w:div w:id="1320692861">
                      <w:marLeft w:val="0"/>
                      <w:marRight w:val="0"/>
                      <w:marTop w:val="0"/>
                      <w:marBottom w:val="0"/>
                      <w:divBdr>
                        <w:top w:val="none" w:sz="0" w:space="0" w:color="auto"/>
                        <w:left w:val="none" w:sz="0" w:space="0" w:color="auto"/>
                        <w:bottom w:val="none" w:sz="0" w:space="0" w:color="auto"/>
                        <w:right w:val="none" w:sz="0" w:space="0" w:color="auto"/>
                      </w:divBdr>
                      <w:divsChild>
                        <w:div w:id="1368412735">
                          <w:marLeft w:val="0"/>
                          <w:marRight w:val="0"/>
                          <w:marTop w:val="0"/>
                          <w:marBottom w:val="0"/>
                          <w:divBdr>
                            <w:top w:val="none" w:sz="0" w:space="0" w:color="auto"/>
                            <w:left w:val="none" w:sz="0" w:space="0" w:color="auto"/>
                            <w:bottom w:val="none" w:sz="0" w:space="0" w:color="auto"/>
                            <w:right w:val="none" w:sz="0" w:space="0" w:color="auto"/>
                          </w:divBdr>
                          <w:divsChild>
                            <w:div w:id="264967769">
                              <w:marLeft w:val="0"/>
                              <w:marRight w:val="0"/>
                              <w:marTop w:val="0"/>
                              <w:marBottom w:val="0"/>
                              <w:divBdr>
                                <w:top w:val="none" w:sz="0" w:space="0" w:color="auto"/>
                                <w:left w:val="none" w:sz="0" w:space="0" w:color="auto"/>
                                <w:bottom w:val="none" w:sz="0" w:space="0" w:color="auto"/>
                                <w:right w:val="none" w:sz="0" w:space="0" w:color="auto"/>
                              </w:divBdr>
                              <w:divsChild>
                                <w:div w:id="1136987614">
                                  <w:marLeft w:val="0"/>
                                  <w:marRight w:val="0"/>
                                  <w:marTop w:val="0"/>
                                  <w:marBottom w:val="0"/>
                                  <w:divBdr>
                                    <w:top w:val="none" w:sz="0" w:space="0" w:color="auto"/>
                                    <w:left w:val="none" w:sz="0" w:space="0" w:color="auto"/>
                                    <w:bottom w:val="none" w:sz="0" w:space="0" w:color="auto"/>
                                    <w:right w:val="none" w:sz="0" w:space="0" w:color="auto"/>
                                  </w:divBdr>
                                  <w:divsChild>
                                    <w:div w:id="1000424354">
                                      <w:marLeft w:val="0"/>
                                      <w:marRight w:val="0"/>
                                      <w:marTop w:val="0"/>
                                      <w:marBottom w:val="0"/>
                                      <w:divBdr>
                                        <w:top w:val="none" w:sz="0" w:space="0" w:color="auto"/>
                                        <w:left w:val="none" w:sz="0" w:space="0" w:color="auto"/>
                                        <w:bottom w:val="none" w:sz="0" w:space="0" w:color="auto"/>
                                        <w:right w:val="none" w:sz="0" w:space="0" w:color="auto"/>
                                      </w:divBdr>
                                      <w:divsChild>
                                        <w:div w:id="1074860562">
                                          <w:marLeft w:val="0"/>
                                          <w:marRight w:val="0"/>
                                          <w:marTop w:val="0"/>
                                          <w:marBottom w:val="495"/>
                                          <w:divBdr>
                                            <w:top w:val="none" w:sz="0" w:space="0" w:color="auto"/>
                                            <w:left w:val="none" w:sz="0" w:space="0" w:color="auto"/>
                                            <w:bottom w:val="none" w:sz="0" w:space="0" w:color="auto"/>
                                            <w:right w:val="none" w:sz="0" w:space="0" w:color="auto"/>
                                          </w:divBdr>
                                          <w:divsChild>
                                            <w:div w:id="101646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8117768">
      <w:bodyDiv w:val="1"/>
      <w:marLeft w:val="0"/>
      <w:marRight w:val="0"/>
      <w:marTop w:val="0"/>
      <w:marBottom w:val="0"/>
      <w:divBdr>
        <w:top w:val="none" w:sz="0" w:space="0" w:color="auto"/>
        <w:left w:val="none" w:sz="0" w:space="0" w:color="auto"/>
        <w:bottom w:val="none" w:sz="0" w:space="0" w:color="auto"/>
        <w:right w:val="none" w:sz="0" w:space="0" w:color="auto"/>
      </w:divBdr>
    </w:div>
    <w:div w:id="768278531">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78781019">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438408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151647">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27100893">
      <w:bodyDiv w:val="1"/>
      <w:marLeft w:val="0"/>
      <w:marRight w:val="0"/>
      <w:marTop w:val="0"/>
      <w:marBottom w:val="0"/>
      <w:divBdr>
        <w:top w:val="none" w:sz="0" w:space="0" w:color="auto"/>
        <w:left w:val="none" w:sz="0" w:space="0" w:color="auto"/>
        <w:bottom w:val="none" w:sz="0" w:space="0" w:color="auto"/>
        <w:right w:val="none" w:sz="0" w:space="0" w:color="auto"/>
      </w:divBdr>
      <w:divsChild>
        <w:div w:id="1625194179">
          <w:marLeft w:val="0"/>
          <w:marRight w:val="0"/>
          <w:marTop w:val="0"/>
          <w:marBottom w:val="0"/>
          <w:divBdr>
            <w:top w:val="none" w:sz="0" w:space="0" w:color="auto"/>
            <w:left w:val="none" w:sz="0" w:space="0" w:color="auto"/>
            <w:bottom w:val="none" w:sz="0" w:space="0" w:color="auto"/>
            <w:right w:val="none" w:sz="0" w:space="0" w:color="auto"/>
          </w:divBdr>
          <w:divsChild>
            <w:div w:id="1079668276">
              <w:marLeft w:val="0"/>
              <w:marRight w:val="0"/>
              <w:marTop w:val="0"/>
              <w:marBottom w:val="0"/>
              <w:divBdr>
                <w:top w:val="none" w:sz="0" w:space="0" w:color="auto"/>
                <w:left w:val="none" w:sz="0" w:space="0" w:color="auto"/>
                <w:bottom w:val="none" w:sz="0" w:space="0" w:color="auto"/>
                <w:right w:val="none" w:sz="0" w:space="0" w:color="auto"/>
              </w:divBdr>
              <w:divsChild>
                <w:div w:id="722289634">
                  <w:marLeft w:val="0"/>
                  <w:marRight w:val="0"/>
                  <w:marTop w:val="0"/>
                  <w:marBottom w:val="0"/>
                  <w:divBdr>
                    <w:top w:val="none" w:sz="0" w:space="0" w:color="auto"/>
                    <w:left w:val="none" w:sz="0" w:space="0" w:color="auto"/>
                    <w:bottom w:val="none" w:sz="0" w:space="0" w:color="auto"/>
                    <w:right w:val="none" w:sz="0" w:space="0" w:color="auto"/>
                  </w:divBdr>
                  <w:divsChild>
                    <w:div w:id="440951309">
                      <w:marLeft w:val="0"/>
                      <w:marRight w:val="0"/>
                      <w:marTop w:val="0"/>
                      <w:marBottom w:val="0"/>
                      <w:divBdr>
                        <w:top w:val="none" w:sz="0" w:space="0" w:color="auto"/>
                        <w:left w:val="none" w:sz="0" w:space="0" w:color="auto"/>
                        <w:bottom w:val="none" w:sz="0" w:space="0" w:color="auto"/>
                        <w:right w:val="none" w:sz="0" w:space="0" w:color="auto"/>
                      </w:divBdr>
                      <w:divsChild>
                        <w:div w:id="565845048">
                          <w:marLeft w:val="0"/>
                          <w:marRight w:val="0"/>
                          <w:marTop w:val="0"/>
                          <w:marBottom w:val="0"/>
                          <w:divBdr>
                            <w:top w:val="none" w:sz="0" w:space="0" w:color="auto"/>
                            <w:left w:val="none" w:sz="0" w:space="0" w:color="auto"/>
                            <w:bottom w:val="none" w:sz="0" w:space="0" w:color="auto"/>
                            <w:right w:val="none" w:sz="0" w:space="0" w:color="auto"/>
                          </w:divBdr>
                          <w:divsChild>
                            <w:div w:id="746725896">
                              <w:marLeft w:val="0"/>
                              <w:marRight w:val="0"/>
                              <w:marTop w:val="0"/>
                              <w:marBottom w:val="0"/>
                              <w:divBdr>
                                <w:top w:val="none" w:sz="0" w:space="0" w:color="auto"/>
                                <w:left w:val="none" w:sz="0" w:space="0" w:color="auto"/>
                                <w:bottom w:val="none" w:sz="0" w:space="0" w:color="auto"/>
                                <w:right w:val="none" w:sz="0" w:space="0" w:color="auto"/>
                              </w:divBdr>
                              <w:divsChild>
                                <w:div w:id="795834651">
                                  <w:marLeft w:val="0"/>
                                  <w:marRight w:val="0"/>
                                  <w:marTop w:val="0"/>
                                  <w:marBottom w:val="0"/>
                                  <w:divBdr>
                                    <w:top w:val="none" w:sz="0" w:space="0" w:color="auto"/>
                                    <w:left w:val="none" w:sz="0" w:space="0" w:color="auto"/>
                                    <w:bottom w:val="none" w:sz="0" w:space="0" w:color="auto"/>
                                    <w:right w:val="none" w:sz="0" w:space="0" w:color="auto"/>
                                  </w:divBdr>
                                  <w:divsChild>
                                    <w:div w:id="128205806">
                                      <w:marLeft w:val="0"/>
                                      <w:marRight w:val="0"/>
                                      <w:marTop w:val="0"/>
                                      <w:marBottom w:val="0"/>
                                      <w:divBdr>
                                        <w:top w:val="none" w:sz="0" w:space="0" w:color="auto"/>
                                        <w:left w:val="none" w:sz="0" w:space="0" w:color="auto"/>
                                        <w:bottom w:val="none" w:sz="0" w:space="0" w:color="auto"/>
                                        <w:right w:val="none" w:sz="0" w:space="0" w:color="auto"/>
                                      </w:divBdr>
                                      <w:divsChild>
                                        <w:div w:id="1734306363">
                                          <w:marLeft w:val="0"/>
                                          <w:marRight w:val="0"/>
                                          <w:marTop w:val="0"/>
                                          <w:marBottom w:val="495"/>
                                          <w:divBdr>
                                            <w:top w:val="none" w:sz="0" w:space="0" w:color="auto"/>
                                            <w:left w:val="none" w:sz="0" w:space="0" w:color="auto"/>
                                            <w:bottom w:val="none" w:sz="0" w:space="0" w:color="auto"/>
                                            <w:right w:val="none" w:sz="0" w:space="0" w:color="auto"/>
                                          </w:divBdr>
                                          <w:divsChild>
                                            <w:div w:id="17601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87432051">
      <w:bodyDiv w:val="1"/>
      <w:marLeft w:val="0"/>
      <w:marRight w:val="0"/>
      <w:marTop w:val="0"/>
      <w:marBottom w:val="0"/>
      <w:divBdr>
        <w:top w:val="none" w:sz="0" w:space="0" w:color="auto"/>
        <w:left w:val="none" w:sz="0" w:space="0" w:color="auto"/>
        <w:bottom w:val="none" w:sz="0" w:space="0" w:color="auto"/>
        <w:right w:val="none" w:sz="0" w:space="0" w:color="auto"/>
      </w:divBdr>
      <w:divsChild>
        <w:div w:id="1275331937">
          <w:marLeft w:val="0"/>
          <w:marRight w:val="0"/>
          <w:marTop w:val="0"/>
          <w:marBottom w:val="0"/>
          <w:divBdr>
            <w:top w:val="none" w:sz="0" w:space="0" w:color="auto"/>
            <w:left w:val="none" w:sz="0" w:space="0" w:color="auto"/>
            <w:bottom w:val="none" w:sz="0" w:space="0" w:color="auto"/>
            <w:right w:val="none" w:sz="0" w:space="0" w:color="auto"/>
          </w:divBdr>
          <w:divsChild>
            <w:div w:id="642849095">
              <w:marLeft w:val="0"/>
              <w:marRight w:val="0"/>
              <w:marTop w:val="0"/>
              <w:marBottom w:val="0"/>
              <w:divBdr>
                <w:top w:val="none" w:sz="0" w:space="0" w:color="auto"/>
                <w:left w:val="none" w:sz="0" w:space="0" w:color="auto"/>
                <w:bottom w:val="none" w:sz="0" w:space="0" w:color="auto"/>
                <w:right w:val="none" w:sz="0" w:space="0" w:color="auto"/>
              </w:divBdr>
              <w:divsChild>
                <w:div w:id="222252762">
                  <w:marLeft w:val="0"/>
                  <w:marRight w:val="0"/>
                  <w:marTop w:val="0"/>
                  <w:marBottom w:val="0"/>
                  <w:divBdr>
                    <w:top w:val="none" w:sz="0" w:space="0" w:color="auto"/>
                    <w:left w:val="none" w:sz="0" w:space="0" w:color="auto"/>
                    <w:bottom w:val="none" w:sz="0" w:space="0" w:color="auto"/>
                    <w:right w:val="none" w:sz="0" w:space="0" w:color="auto"/>
                  </w:divBdr>
                  <w:divsChild>
                    <w:div w:id="1950118633">
                      <w:marLeft w:val="0"/>
                      <w:marRight w:val="0"/>
                      <w:marTop w:val="0"/>
                      <w:marBottom w:val="0"/>
                      <w:divBdr>
                        <w:top w:val="none" w:sz="0" w:space="0" w:color="auto"/>
                        <w:left w:val="none" w:sz="0" w:space="0" w:color="auto"/>
                        <w:bottom w:val="none" w:sz="0" w:space="0" w:color="auto"/>
                        <w:right w:val="none" w:sz="0" w:space="0" w:color="auto"/>
                      </w:divBdr>
                      <w:divsChild>
                        <w:div w:id="1237864430">
                          <w:marLeft w:val="0"/>
                          <w:marRight w:val="0"/>
                          <w:marTop w:val="0"/>
                          <w:marBottom w:val="0"/>
                          <w:divBdr>
                            <w:top w:val="none" w:sz="0" w:space="0" w:color="auto"/>
                            <w:left w:val="none" w:sz="0" w:space="0" w:color="auto"/>
                            <w:bottom w:val="none" w:sz="0" w:space="0" w:color="auto"/>
                            <w:right w:val="none" w:sz="0" w:space="0" w:color="auto"/>
                          </w:divBdr>
                          <w:divsChild>
                            <w:div w:id="857429327">
                              <w:marLeft w:val="0"/>
                              <w:marRight w:val="0"/>
                              <w:marTop w:val="0"/>
                              <w:marBottom w:val="0"/>
                              <w:divBdr>
                                <w:top w:val="none" w:sz="0" w:space="0" w:color="auto"/>
                                <w:left w:val="none" w:sz="0" w:space="0" w:color="auto"/>
                                <w:bottom w:val="none" w:sz="0" w:space="0" w:color="auto"/>
                                <w:right w:val="none" w:sz="0" w:space="0" w:color="auto"/>
                              </w:divBdr>
                              <w:divsChild>
                                <w:div w:id="998577575">
                                  <w:marLeft w:val="0"/>
                                  <w:marRight w:val="0"/>
                                  <w:marTop w:val="0"/>
                                  <w:marBottom w:val="0"/>
                                  <w:divBdr>
                                    <w:top w:val="none" w:sz="0" w:space="0" w:color="auto"/>
                                    <w:left w:val="none" w:sz="0" w:space="0" w:color="auto"/>
                                    <w:bottom w:val="none" w:sz="0" w:space="0" w:color="auto"/>
                                    <w:right w:val="none" w:sz="0" w:space="0" w:color="auto"/>
                                  </w:divBdr>
                                  <w:divsChild>
                                    <w:div w:id="2132507668">
                                      <w:marLeft w:val="0"/>
                                      <w:marRight w:val="0"/>
                                      <w:marTop w:val="0"/>
                                      <w:marBottom w:val="0"/>
                                      <w:divBdr>
                                        <w:top w:val="none" w:sz="0" w:space="0" w:color="auto"/>
                                        <w:left w:val="none" w:sz="0" w:space="0" w:color="auto"/>
                                        <w:bottom w:val="none" w:sz="0" w:space="0" w:color="auto"/>
                                        <w:right w:val="none" w:sz="0" w:space="0" w:color="auto"/>
                                      </w:divBdr>
                                      <w:divsChild>
                                        <w:div w:id="1135833316">
                                          <w:marLeft w:val="0"/>
                                          <w:marRight w:val="0"/>
                                          <w:marTop w:val="0"/>
                                          <w:marBottom w:val="495"/>
                                          <w:divBdr>
                                            <w:top w:val="none" w:sz="0" w:space="0" w:color="auto"/>
                                            <w:left w:val="none" w:sz="0" w:space="0" w:color="auto"/>
                                            <w:bottom w:val="none" w:sz="0" w:space="0" w:color="auto"/>
                                            <w:right w:val="none" w:sz="0" w:space="0" w:color="auto"/>
                                          </w:divBdr>
                                          <w:divsChild>
                                            <w:div w:id="17860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37482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en/ITU-R/conferences/wrc/2019/Documents/PFA-WRC19-E.pdf"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327</TotalTime>
  <Pages>4</Pages>
  <Words>956</Words>
  <Characters>5450</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NTTDOCOMO</cp:lastModifiedBy>
  <cp:revision>21</cp:revision>
  <cp:lastPrinted>2017-04-28T05:57:00Z</cp:lastPrinted>
  <dcterms:created xsi:type="dcterms:W3CDTF">2020-02-04T09:49:00Z</dcterms:created>
  <dcterms:modified xsi:type="dcterms:W3CDTF">2020-02-14T12:39:00Z</dcterms:modified>
</cp:coreProperties>
</file>